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 w14:paraId="06000000">
      <w:pPr>
        <w:pStyle w:val="Style_2"/>
        <w:spacing w:after="0"/>
        <w:ind/>
      </w:pPr>
    </w:p>
    <w:p w14:paraId="07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Многодетным семьям предоставлено право на бесплатное посещение музеев, парков культуры и отдыха, выставок.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Постановлением Правительства РФ от 09.04.2025 № 463 утверждены Правила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жительства.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Так, при условии подтверждения статуса многодетной семьи оформляется бесплатный билет или бесплатный электронный билет на проводимое мероприятие на каждого члена многодетной семьи, обратившегося за получением права на бесплатное посещение.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Информация о порядке бесплатного посещения доводится до сведения многодетных семей посредством ее размещения на официальных сайтах организаций в сети «Интернет», на специально оборудованных информационных стендах, размещаемых на территории организаций, а также иными доступными способами.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Перечень организаций, предоставляющих право на бесплатное посещение гражданину и членам его семьи, отнесенным к составу многодетной семьи в РФ, размещается на едином портале государственных услуг.</w:t>
      </w:r>
    </w:p>
    <w:p w14:paraId="0C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Установлен запрет на навязывание потребителю дополнительных товаров, работ, услуг.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Федеральным законом от 07.04.2025 № 69-ФЗ в статью 16 Закона «О защите прав потребителей» внесены изменения, согласно которым продажа дополнительных товаров (выполнение дополнительных работ, оказание дополнительных услуг) за отдельную плату осуществляется продавцом (исполнителем, владельцем </w:t>
      </w:r>
      <w:r>
        <w:rPr>
          <w:rFonts w:ascii="Times New Roman" w:hAnsi="Times New Roman"/>
          <w:color w:val="000000"/>
          <w:sz w:val="28"/>
        </w:rPr>
        <w:t>агрегатора</w:t>
      </w:r>
      <w:r>
        <w:rPr>
          <w:rFonts w:ascii="Times New Roman" w:hAnsi="Times New Roman"/>
          <w:color w:val="000000"/>
          <w:sz w:val="28"/>
        </w:rPr>
        <w:t>) исключительно с согласия потребителя, которое должно быть оформлено в письменном виде.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Запрещается навязывание потребителю дополнительных товаров (работ, услуг) за отдельную плату до заключения основного договора. Не допускается проставление продавцом (исполнителем, владельцем </w:t>
      </w:r>
      <w:r>
        <w:rPr>
          <w:rFonts w:ascii="Times New Roman" w:hAnsi="Times New Roman"/>
          <w:color w:val="000000"/>
          <w:sz w:val="28"/>
        </w:rPr>
        <w:t>агрегатора</w:t>
      </w:r>
      <w:r>
        <w:rPr>
          <w:rFonts w:ascii="Times New Roman" w:hAnsi="Times New Roman"/>
          <w:color w:val="000000"/>
          <w:sz w:val="28"/>
        </w:rPr>
        <w:t>) автоматических отметок о согласии потребителя на приобретение дополнительных товаров (выполнение дополнительных работ, оказание дополнительных услуг) или выражение такого согласия за потребителя.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продавцу запрещается формировать условия, предполагающие изначальное согласие потребителя на приобретение дополнительных товаров (выполнение дополнительных работ, оказание дополнительных услуг).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Закреплено право потребителя отказаться от оплаты навязанных дополнительных товаров (работ, услуг), а если они оплачены – потребовать от продавца возврата уплаченной суммы за проданные без его согласия дополнительные товары (выполненные дополнительные работы, оказанные дополнительные услуги).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вступает в силу с 1 сентября 2025 года.</w:t>
      </w:r>
    </w:p>
    <w:p w14:paraId="12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Новое в трудовом законодательстве.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Внесены изменения в часть вторую статьи 128 Трудового кодекса Российской Федерации. Работодатель обязан на основании письменного заявления работника предоставить </w:t>
      </w:r>
      <w:r>
        <w:rPr>
          <w:rFonts w:ascii="Times New Roman" w:hAnsi="Times New Roman"/>
          <w:color w:val="000000"/>
          <w:sz w:val="28"/>
        </w:rPr>
        <w:t>отпуск без сохранения заработной платы: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35 календарных дней в году родственникам (родителям, супругам и детям)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сотрудников других ведомств,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в целях осуществления ухода за ними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14 календарных дней в году детям погибших военнослужащих и других сотрудников (ранее он был положен только родителям и супругам); родителям, супругам и детям погибших добровольцев.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Поправки вступили в силу 7 апреля 2025 года.</w:t>
      </w:r>
    </w:p>
    <w:p w14:paraId="17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Новые гарантии мобилизованным и их семей.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01.03.2025 вступил в силу Федеральный закон от 26.12.2024 № 498-ФЗ «О внесении изменений в Трудовой кодекс Российской Федерации». Согласно </w:t>
      </w:r>
      <w:r>
        <w:rPr>
          <w:rFonts w:ascii="Times New Roman" w:hAnsi="Times New Roman"/>
          <w:color w:val="000000"/>
          <w:sz w:val="28"/>
        </w:rPr>
        <w:t>закону</w:t>
      </w:r>
      <w:r>
        <w:rPr>
          <w:rFonts w:ascii="Times New Roman" w:hAnsi="Times New Roman"/>
          <w:color w:val="000000"/>
          <w:sz w:val="28"/>
        </w:rPr>
        <w:t xml:space="preserve"> работодатели обязаны приостанавливать трудовые договоры на весь период прохождения работником военной службы по мобилизации, службы в войсках национальной гвардии Российской Федерации по мобилизации или действия контракта. В период приостановления действия трудового договора за работником сохраняется место работы (должность).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Действие трудового договора возобновляется в день выхода работника на работу, о чем он обязан предупредить работодателя не позднее чем за три рабочих дня.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Один из родителей, если другой мобилизован, либо является добровольцем, либо заключил контракт на военную службу в период мобилизации, военного </w:t>
      </w:r>
      <w:r>
        <w:rPr>
          <w:rFonts w:ascii="Times New Roman" w:hAnsi="Times New Roman"/>
          <w:color w:val="000000"/>
          <w:sz w:val="28"/>
        </w:rPr>
        <w:t xml:space="preserve">положения или в военное время, а в семье есть ребенок в возрасте до 14 лет, может отказаться </w:t>
      </w:r>
      <w:r>
        <w:rPr>
          <w:rFonts w:ascii="Times New Roman" w:hAnsi="Times New Roman"/>
          <w:color w:val="000000"/>
          <w:sz w:val="28"/>
        </w:rPr>
        <w:t>от сверхурочной работе</w:t>
      </w:r>
      <w:r>
        <w:rPr>
          <w:rFonts w:ascii="Times New Roman" w:hAnsi="Times New Roman"/>
          <w:color w:val="000000"/>
          <w:sz w:val="28"/>
        </w:rPr>
        <w:t>, работе в ночное время, выходные и нерабочие праздничные дни. Отказ оформляется в письменном виде, без согласия работника привлекать его к этим видам работ нельзя.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работников, имеющих ребенка в возрасте до 18 лет, если другой родитель относится к категории мобилизованных и приравненных к ним лиц, предусмотрено преимущественное право на оставление их на работе в связи с сокращением численности или штата работников при равной производительности труда и квалификации с другими работниками (ч. 2 ст. 179 ТК РФ).</w:t>
      </w:r>
    </w:p>
    <w:p w14:paraId="1C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Установлена возможность привлечения к работе лиц в возрасте от 14 до 18 лет в выходные и нерабочие праздничные дни в период летних каникул.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Федеральным законом от 07.04.2025 № 63-ФЗ внесены изменения в статью 268 Трудового кодекса Российской Федерации, в соответствии с которыми 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отрядов, включенных в реестр молодежных и детских объединений, пользующихся господдержкой.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этого необходимо получить письменное согласие:</w:t>
      </w:r>
      <w:r>
        <w:rPr>
          <w:rFonts w:ascii="Times New Roman" w:hAnsi="Times New Roman"/>
          <w:color w:val="000000"/>
          <w:sz w:val="28"/>
        </w:rPr>
        <w:t xml:space="preserve"> работника (если он достиг возраста 18 лет);</w:t>
      </w:r>
      <w:r>
        <w:rPr>
          <w:rFonts w:ascii="Times New Roman" w:hAnsi="Times New Roman"/>
          <w:color w:val="000000"/>
          <w:sz w:val="28"/>
        </w:rPr>
        <w:t xml:space="preserve"> работника и одного из его родителей (если достиг возраста 15 лет); </w:t>
      </w:r>
      <w:r>
        <w:rPr>
          <w:rFonts w:ascii="Times New Roman" w:hAnsi="Times New Roman"/>
          <w:color w:val="000000"/>
          <w:sz w:val="28"/>
        </w:rPr>
        <w:t>работника и органа опеки и попечительства или иного законного представителя несовершеннолетнего, указанного в части 4 статьи 63 Трудового кодекса Российской Федерации.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Изменения вступают в силу с 01.09.2025.</w:t>
      </w:r>
    </w:p>
    <w:p w14:paraId="20000000">
      <w:pPr>
        <w:numPr>
          <w:numId w:val="1"/>
        </w:numPr>
        <w:spacing w:after="0" w:before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реестре наставников.</w:t>
      </w:r>
    </w:p>
    <w:p w14:paraId="21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Постановлением Правительства РФ от 26.03.2025 № 371, вступающим в силу с 12.04.2025, </w:t>
      </w:r>
      <w:r>
        <w:rPr>
          <w:rFonts w:ascii="Times New Roman" w:hAnsi="Times New Roman"/>
          <w:b w:val="0"/>
          <w:color w:val="000000"/>
          <w:sz w:val="28"/>
        </w:rPr>
        <w:t xml:space="preserve">утверждены Правила формирования </w:t>
      </w:r>
      <w:r>
        <w:rPr>
          <w:rFonts w:ascii="Times New Roman" w:hAnsi="Times New Roman"/>
          <w:b w:val="0"/>
          <w:color w:val="000000"/>
          <w:sz w:val="28"/>
        </w:rPr>
        <w:t xml:space="preserve">Министерством просвещения РФ </w:t>
      </w:r>
      <w:r>
        <w:rPr>
          <w:rFonts w:ascii="Times New Roman" w:hAnsi="Times New Roman"/>
          <w:b w:val="0"/>
          <w:color w:val="000000"/>
          <w:sz w:val="28"/>
        </w:rPr>
        <w:t>реестра наставников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для осуществления индивидуальной профилактической работы</w:t>
      </w:r>
      <w:r>
        <w:rPr>
          <w:rFonts w:ascii="Times New Roman" w:hAnsi="Times New Roman"/>
          <w:b w:val="0"/>
          <w:color w:val="000000"/>
          <w:sz w:val="28"/>
        </w:rPr>
        <w:t xml:space="preserve"> (педагогов и социальных работников)</w:t>
      </w:r>
      <w:r>
        <w:rPr>
          <w:rFonts w:ascii="Times New Roman" w:hAnsi="Times New Roman"/>
          <w:b w:val="0"/>
          <w:color w:val="000000"/>
          <w:sz w:val="28"/>
        </w:rPr>
        <w:t xml:space="preserve"> с несовершеннолетними</w:t>
      </w:r>
      <w:r>
        <w:rPr>
          <w:rFonts w:ascii="Times New Roman" w:hAnsi="Times New Roman"/>
          <w:b w:val="0"/>
          <w:color w:val="000000"/>
          <w:sz w:val="28"/>
        </w:rPr>
        <w:t xml:space="preserve"> и реестра организаций (</w:t>
      </w:r>
      <w:r>
        <w:rPr>
          <w:rFonts w:ascii="Times New Roman" w:hAnsi="Times New Roman"/>
          <w:b w:val="0"/>
          <w:color w:val="000000"/>
          <w:sz w:val="28"/>
        </w:rPr>
        <w:t>благотворительных, волонтерских, социально ориентированных некоммерческих организаций), участвующих в деятельности по профилактике безнадзорности и правонарушений несовершеннолетних.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p w14:paraId="22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Реестры содержатся в государственной информационной системе профилактики безнадзорности и правонарушений несовершеннолетних, функционирование которой осуществляется с соблюдением конфиденциальности персональных данных, обеспечением их защиты и хранения</w:t>
      </w:r>
    </w:p>
    <w:p w14:paraId="23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новых направлениях деятельности</w:t>
      </w:r>
      <w:r>
        <w:rPr>
          <w:rFonts w:ascii="Times New Roman" w:hAnsi="Times New Roman"/>
          <w:b w:val="1"/>
          <w:color w:val="000000"/>
          <w:sz w:val="28"/>
        </w:rPr>
        <w:t xml:space="preserve"> Государственного фонда поддержки участников специальной военной операции «Защитники Отечества».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Указом Президента РФ от 20.03.2025 № 157, вступившим в силу в тот же день внесены изменения в Указ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качестве направления деятельности фонда закреплены организация и оказание поддержки и помощи членам семей лиц, пропавших без вести в период участия в СВО либо признанных безвестно отсутствующими в связи с участием в СВО. </w:t>
      </w:r>
      <w:r>
        <w:rPr>
          <w:rFonts w:ascii="Times New Roman" w:hAnsi="Times New Roman"/>
          <w:color w:val="000000"/>
          <w:sz w:val="28"/>
        </w:rPr>
        <w:t xml:space="preserve">Им оказывается психолого-психотерапевтическая помощь, содействие в получении мер социальной поддержки, услуг, бесплатной юридической помощи и во взаимодействии с органами власти, государственными, муниципальными, волонтерскими организациями, содействие по вопросам, связанным с безвестным отсутствием участников СВО, в том числе касающимся проведения идентификационных генетических исследований. </w:t>
      </w:r>
    </w:p>
    <w:p w14:paraId="26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 особенностях правового положения отдельных категорий иностранных граждан и лиц без гражданства в Российской Федерации.</w:t>
      </w:r>
    </w:p>
    <w:p w14:paraId="27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20.03.2025 вступил в силу Указ Президента РФ </w:t>
      </w:r>
      <w:r>
        <w:rPr>
          <w:rFonts w:ascii="Times New Roman" w:hAnsi="Times New Roman"/>
          <w:b w:val="0"/>
          <w:color w:val="000000"/>
          <w:sz w:val="28"/>
        </w:rPr>
        <w:t>№ 159</w:t>
      </w:r>
      <w:r>
        <w:rPr>
          <w:rFonts w:ascii="Times New Roman" w:hAnsi="Times New Roman"/>
          <w:b w:val="0"/>
          <w:color w:val="000000"/>
          <w:sz w:val="28"/>
        </w:rPr>
        <w:t xml:space="preserve"> «</w:t>
      </w:r>
      <w:r>
        <w:rPr>
          <w:rFonts w:ascii="Times New Roman" w:hAnsi="Times New Roman"/>
          <w:b w:val="0"/>
          <w:color w:val="000000"/>
          <w:sz w:val="28"/>
        </w:rPr>
        <w:t>Об особенностях правового положения отдельных категорий иностранных граждан и лиц без гражданства в Российской Федерации,</w:t>
      </w:r>
      <w:r>
        <w:rPr>
          <w:rFonts w:ascii="Times New Roman" w:hAnsi="Times New Roman"/>
          <w:b w:val="0"/>
          <w:color w:val="000000"/>
          <w:sz w:val="28"/>
        </w:rPr>
        <w:t xml:space="preserve"> изменении и признании утратившими силу некоторых указов Президента Российской Федерации»</w:t>
      </w:r>
      <w:r>
        <w:rPr>
          <w:rFonts w:ascii="Times New Roman" w:hAnsi="Times New Roman"/>
          <w:b w:val="0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color w:val="000000"/>
          <w:sz w:val="28"/>
        </w:rPr>
        <w:t>обязывающий находящихся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без законных оснований</w:t>
      </w:r>
      <w:r>
        <w:rPr>
          <w:rFonts w:ascii="Times New Roman" w:hAnsi="Times New Roman"/>
          <w:b w:val="0"/>
          <w:color w:val="000000"/>
          <w:sz w:val="28"/>
        </w:rPr>
        <w:t xml:space="preserve"> для пребывания (проживания) в РФ </w:t>
      </w:r>
      <w:r>
        <w:rPr>
          <w:rFonts w:ascii="Times New Roman" w:hAnsi="Times New Roman"/>
          <w:b w:val="0"/>
          <w:color w:val="000000"/>
          <w:sz w:val="28"/>
        </w:rPr>
        <w:t>граждан Украины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самостоятельно выехать из нее либо до 10</w:t>
      </w:r>
      <w:r>
        <w:rPr>
          <w:rFonts w:ascii="Times New Roman" w:hAnsi="Times New Roman"/>
          <w:b w:val="0"/>
          <w:color w:val="000000"/>
          <w:sz w:val="28"/>
        </w:rPr>
        <w:t>.09.2025</w:t>
      </w:r>
      <w:r>
        <w:rPr>
          <w:rFonts w:ascii="Times New Roman" w:hAnsi="Times New Roman"/>
          <w:b w:val="0"/>
          <w:color w:val="000000"/>
          <w:sz w:val="28"/>
        </w:rPr>
        <w:t xml:space="preserve"> включительно урегулировать свое правовое положение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</w:t>
      </w:r>
      <w:r>
        <w:rPr>
          <w:rFonts w:ascii="Times New Roman" w:hAnsi="Times New Roman"/>
          <w:b w:val="0"/>
          <w:color w:val="000000"/>
          <w:sz w:val="28"/>
        </w:rPr>
        <w:t xml:space="preserve">ностранные граждане и лица без гражданства, которые прибыли до </w:t>
      </w:r>
      <w:r>
        <w:rPr>
          <w:rFonts w:ascii="Times New Roman" w:hAnsi="Times New Roman"/>
          <w:b w:val="0"/>
          <w:color w:val="000000"/>
          <w:sz w:val="28"/>
        </w:rPr>
        <w:t xml:space="preserve">20.03.2025 </w:t>
      </w:r>
      <w:r>
        <w:rPr>
          <w:rFonts w:ascii="Times New Roman" w:hAnsi="Times New Roman"/>
          <w:b w:val="0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b w:val="0"/>
          <w:color w:val="000000"/>
          <w:sz w:val="28"/>
        </w:rPr>
        <w:t>Л</w:t>
      </w:r>
      <w:r>
        <w:rPr>
          <w:rFonts w:ascii="Times New Roman" w:hAnsi="Times New Roman"/>
          <w:b w:val="0"/>
          <w:color w:val="000000"/>
          <w:sz w:val="28"/>
        </w:rPr>
        <w:t>ДНР, Запорожской и Херсонской областей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не для трудовой деятельности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на срок</w:t>
      </w:r>
      <w:r>
        <w:rPr>
          <w:rFonts w:ascii="Times New Roman" w:hAnsi="Times New Roman"/>
          <w:b w:val="0"/>
          <w:color w:val="000000"/>
          <w:sz w:val="28"/>
        </w:rPr>
        <w:t xml:space="preserve"> более </w:t>
      </w:r>
      <w:r>
        <w:rPr>
          <w:rFonts w:ascii="Times New Roman" w:hAnsi="Times New Roman"/>
          <w:b w:val="0"/>
          <w:color w:val="000000"/>
          <w:sz w:val="28"/>
        </w:rPr>
        <w:t>90 календарных дней</w:t>
      </w:r>
      <w:r>
        <w:rPr>
          <w:rFonts w:ascii="Times New Roman" w:hAnsi="Times New Roman"/>
          <w:b w:val="0"/>
          <w:color w:val="000000"/>
          <w:sz w:val="28"/>
        </w:rPr>
        <w:t>, либо в целях</w:t>
      </w:r>
      <w:r>
        <w:rPr>
          <w:rFonts w:ascii="Times New Roman" w:hAnsi="Times New Roman"/>
          <w:b w:val="0"/>
          <w:color w:val="000000"/>
          <w:sz w:val="28"/>
        </w:rPr>
        <w:t xml:space="preserve"> ее</w:t>
      </w:r>
      <w:r>
        <w:rPr>
          <w:rFonts w:ascii="Times New Roman" w:hAnsi="Times New Roman"/>
          <w:b w:val="0"/>
          <w:color w:val="000000"/>
          <w:sz w:val="28"/>
        </w:rPr>
        <w:t xml:space="preserve"> осуществления и </w:t>
      </w:r>
      <w:r>
        <w:rPr>
          <w:rFonts w:ascii="Times New Roman" w:hAnsi="Times New Roman"/>
          <w:b w:val="0"/>
          <w:color w:val="000000"/>
          <w:sz w:val="28"/>
        </w:rPr>
        <w:t>не прош</w:t>
      </w:r>
      <w:r>
        <w:rPr>
          <w:rFonts w:ascii="Times New Roman" w:hAnsi="Times New Roman"/>
          <w:b w:val="0"/>
          <w:color w:val="000000"/>
          <w:sz w:val="28"/>
        </w:rPr>
        <w:t xml:space="preserve">едшие </w:t>
      </w:r>
      <w:r>
        <w:rPr>
          <w:rFonts w:ascii="Times New Roman" w:hAnsi="Times New Roman"/>
          <w:b w:val="0"/>
          <w:color w:val="000000"/>
          <w:sz w:val="28"/>
        </w:rPr>
        <w:t>медосвидетельствование на наличие или отсутствие факта употребления наркотических</w:t>
      </w:r>
      <w:r>
        <w:rPr>
          <w:rFonts w:ascii="Times New Roman" w:hAnsi="Times New Roman"/>
          <w:b w:val="0"/>
          <w:color w:val="000000"/>
          <w:sz w:val="28"/>
        </w:rPr>
        <w:t xml:space="preserve"> средств без назначения врача, </w:t>
      </w:r>
      <w:r>
        <w:rPr>
          <w:rFonts w:ascii="Times New Roman" w:hAnsi="Times New Roman"/>
          <w:b w:val="0"/>
          <w:color w:val="000000"/>
          <w:sz w:val="28"/>
        </w:rPr>
        <w:t xml:space="preserve">опасных </w:t>
      </w:r>
      <w:r>
        <w:rPr>
          <w:rFonts w:ascii="Times New Roman" w:hAnsi="Times New Roman"/>
          <w:b w:val="0"/>
          <w:color w:val="000000"/>
          <w:sz w:val="28"/>
        </w:rPr>
        <w:t>инфекционных заболеваний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и заболевани</w:t>
      </w:r>
      <w:r>
        <w:rPr>
          <w:rFonts w:ascii="Times New Roman" w:hAnsi="Times New Roman"/>
          <w:b w:val="0"/>
          <w:color w:val="000000"/>
          <w:sz w:val="28"/>
        </w:rPr>
        <w:t>я</w:t>
      </w:r>
      <w:r>
        <w:rPr>
          <w:rFonts w:ascii="Times New Roman" w:hAnsi="Times New Roman"/>
          <w:b w:val="0"/>
          <w:color w:val="000000"/>
          <w:sz w:val="28"/>
        </w:rPr>
        <w:t>, вызываем</w:t>
      </w:r>
      <w:r>
        <w:rPr>
          <w:rFonts w:ascii="Times New Roman" w:hAnsi="Times New Roman"/>
          <w:b w:val="0"/>
          <w:color w:val="000000"/>
          <w:sz w:val="28"/>
        </w:rPr>
        <w:t>ого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ВИЧ</w:t>
      </w:r>
      <w:r>
        <w:rPr>
          <w:rFonts w:ascii="Times New Roman" w:hAnsi="Times New Roman"/>
          <w:b w:val="0"/>
          <w:color w:val="000000"/>
          <w:sz w:val="28"/>
        </w:rPr>
        <w:t>-инфекци</w:t>
      </w:r>
      <w:r>
        <w:rPr>
          <w:rFonts w:ascii="Times New Roman" w:hAnsi="Times New Roman"/>
          <w:b w:val="0"/>
          <w:color w:val="000000"/>
          <w:sz w:val="28"/>
        </w:rPr>
        <w:t>ей</w:t>
      </w:r>
      <w:r>
        <w:rPr>
          <w:rFonts w:ascii="Times New Roman" w:hAnsi="Times New Roman"/>
          <w:b w:val="0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color w:val="000000"/>
          <w:sz w:val="28"/>
        </w:rPr>
        <w:t>обязаны до 10</w:t>
      </w:r>
      <w:r>
        <w:rPr>
          <w:rFonts w:ascii="Times New Roman" w:hAnsi="Times New Roman"/>
          <w:b w:val="0"/>
          <w:color w:val="000000"/>
          <w:sz w:val="28"/>
        </w:rPr>
        <w:t>.06.2025</w:t>
      </w:r>
      <w:r>
        <w:rPr>
          <w:rFonts w:ascii="Times New Roman" w:hAnsi="Times New Roman"/>
          <w:b w:val="0"/>
          <w:color w:val="000000"/>
          <w:sz w:val="28"/>
        </w:rPr>
        <w:t xml:space="preserve"> пройти медосвидетельствование</w:t>
      </w:r>
      <w:r>
        <w:rPr>
          <w:rFonts w:ascii="Times New Roman" w:hAnsi="Times New Roman"/>
          <w:b w:val="0"/>
          <w:color w:val="000000"/>
          <w:sz w:val="28"/>
        </w:rPr>
        <w:t>,</w:t>
      </w:r>
      <w:r>
        <w:rPr>
          <w:rFonts w:ascii="Times New Roman" w:hAnsi="Times New Roman"/>
          <w:b w:val="0"/>
          <w:color w:val="000000"/>
          <w:sz w:val="28"/>
        </w:rPr>
        <w:t xml:space="preserve"> представи</w:t>
      </w:r>
      <w:r>
        <w:rPr>
          <w:rFonts w:ascii="Times New Roman" w:hAnsi="Times New Roman"/>
          <w:b w:val="0"/>
          <w:color w:val="000000"/>
          <w:sz w:val="28"/>
        </w:rPr>
        <w:t>в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меддокументы</w:t>
      </w:r>
      <w:r>
        <w:rPr>
          <w:rFonts w:ascii="Times New Roman" w:hAnsi="Times New Roman"/>
          <w:b w:val="0"/>
          <w:color w:val="000000"/>
          <w:sz w:val="28"/>
        </w:rPr>
        <w:t xml:space="preserve"> в ТО </w:t>
      </w:r>
      <w:r>
        <w:rPr>
          <w:rFonts w:ascii="Times New Roman" w:hAnsi="Times New Roman"/>
          <w:b w:val="0"/>
          <w:color w:val="000000"/>
          <w:sz w:val="28"/>
        </w:rPr>
        <w:t>МВД России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b w:val="0"/>
          <w:color w:val="000000"/>
          <w:sz w:val="28"/>
        </w:rPr>
        <w:t>иностранные граждане</w:t>
      </w:r>
      <w:r>
        <w:rPr>
          <w:rFonts w:ascii="Times New Roman" w:hAnsi="Times New Roman"/>
          <w:b w:val="0"/>
          <w:color w:val="000000"/>
          <w:sz w:val="28"/>
        </w:rPr>
        <w:t xml:space="preserve"> и лица без гражданства </w:t>
      </w:r>
      <w:r>
        <w:rPr>
          <w:rFonts w:ascii="Times New Roman" w:hAnsi="Times New Roman"/>
          <w:b w:val="0"/>
          <w:color w:val="000000"/>
          <w:sz w:val="28"/>
        </w:rPr>
        <w:t>вправе осуществлять трудовую деятельность без разрешения на работу или патента и без учета требований к заявленной цели визита</w:t>
      </w:r>
      <w:r>
        <w:rPr>
          <w:rFonts w:ascii="Times New Roman" w:hAnsi="Times New Roman"/>
          <w:b w:val="0"/>
          <w:color w:val="000000"/>
          <w:sz w:val="28"/>
        </w:rPr>
        <w:t xml:space="preserve"> в РФ </w:t>
      </w:r>
      <w:r>
        <w:rPr>
          <w:rFonts w:ascii="Times New Roman" w:hAnsi="Times New Roman"/>
          <w:b w:val="0"/>
          <w:color w:val="000000"/>
          <w:sz w:val="28"/>
        </w:rPr>
        <w:t>при условии прохождения в ТО МВД РФ идентификации личности по отпечаткам пальцев (ладоней) рук</w:t>
      </w:r>
      <w:r>
        <w:rPr>
          <w:rFonts w:ascii="Times New Roman" w:hAnsi="Times New Roman"/>
          <w:b w:val="0"/>
          <w:color w:val="000000"/>
          <w:sz w:val="28"/>
        </w:rPr>
        <w:t xml:space="preserve"> (в случае отсутствия дактилоскопической информации - про</w:t>
      </w:r>
      <w:r>
        <w:rPr>
          <w:rFonts w:ascii="Times New Roman" w:hAnsi="Times New Roman"/>
          <w:b w:val="0"/>
          <w:color w:val="000000"/>
          <w:sz w:val="28"/>
        </w:rPr>
        <w:t>йти</w:t>
      </w:r>
      <w:r>
        <w:rPr>
          <w:rFonts w:ascii="Times New Roman" w:hAnsi="Times New Roman"/>
          <w:b w:val="0"/>
          <w:color w:val="000000"/>
          <w:sz w:val="28"/>
        </w:rPr>
        <w:t xml:space="preserve"> дактилоскопическ</w:t>
      </w:r>
      <w:r>
        <w:rPr>
          <w:rFonts w:ascii="Times New Roman" w:hAnsi="Times New Roman"/>
          <w:b w:val="0"/>
          <w:color w:val="000000"/>
          <w:sz w:val="28"/>
        </w:rPr>
        <w:t>ую</w:t>
      </w:r>
      <w:r>
        <w:rPr>
          <w:rFonts w:ascii="Times New Roman" w:hAnsi="Times New Roman"/>
          <w:b w:val="0"/>
          <w:color w:val="000000"/>
          <w:sz w:val="28"/>
        </w:rPr>
        <w:t xml:space="preserve"> регистраци</w:t>
      </w:r>
      <w:r>
        <w:rPr>
          <w:rFonts w:ascii="Times New Roman" w:hAnsi="Times New Roman"/>
          <w:b w:val="0"/>
          <w:color w:val="000000"/>
          <w:sz w:val="28"/>
        </w:rPr>
        <w:t>ю</w:t>
      </w:r>
      <w:r>
        <w:rPr>
          <w:rFonts w:ascii="Times New Roman" w:hAnsi="Times New Roman"/>
          <w:b w:val="0"/>
          <w:color w:val="000000"/>
          <w:sz w:val="28"/>
        </w:rPr>
        <w:t xml:space="preserve"> и фотографировани</w:t>
      </w:r>
      <w:r>
        <w:rPr>
          <w:rFonts w:ascii="Times New Roman" w:hAnsi="Times New Roman"/>
          <w:b w:val="0"/>
          <w:color w:val="000000"/>
          <w:sz w:val="28"/>
        </w:rPr>
        <w:t xml:space="preserve">е, а также </w:t>
      </w:r>
      <w:r>
        <w:rPr>
          <w:rFonts w:ascii="Times New Roman" w:hAnsi="Times New Roman"/>
          <w:b w:val="0"/>
          <w:color w:val="000000"/>
          <w:sz w:val="28"/>
        </w:rPr>
        <w:t>медицинско</w:t>
      </w: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 xml:space="preserve"> освидетельствовани</w:t>
      </w: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2A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Утвержден новый порядок обращения с твердыми коммунальными отходами. 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Постановлением Правительства РФ от 07.03.2025 № 293, вступающим в силу с 01.09.2025 и действующими до 01.09.2031,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утвержден новый порядок обращения с твердыми коммунальными отходами. 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Порядок регламентирует вопросы накопления, сбора, транспортировки, обработки, утилизации и захоронения ТКО, заключение договора на оказание данных услуг, основания лишения статуса регионального оператора и другие вопросы. 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Необходимые изменения внесены в иные акты Правительства РФ, в том числе: в Правила содержания общего имущества в многоквартирном доме; Правила предоставления коммунальных услуг собственникам и пользователям помещений в многоквартирных домах и жилых домов; Правила обустройства мест (площадок) накопления твердых коммунальных отходов и ведения их реестра. </w:t>
      </w:r>
    </w:p>
    <w:p w14:paraId="2E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Механизм </w:t>
      </w:r>
      <w:r>
        <w:rPr>
          <w:rFonts w:ascii="Times New Roman" w:hAnsi="Times New Roman"/>
          <w:b w:val="1"/>
          <w:color w:val="000000"/>
          <w:sz w:val="28"/>
        </w:rPr>
        <w:t>эскроу</w:t>
      </w:r>
      <w:r>
        <w:rPr>
          <w:rFonts w:ascii="Times New Roman" w:hAnsi="Times New Roman"/>
          <w:b w:val="1"/>
          <w:color w:val="000000"/>
          <w:sz w:val="28"/>
        </w:rPr>
        <w:t>-счетов при индивидуальном жилищном строительстве.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1 марта 2025 года вступил в силу Федеральный закон от 22.07.2024 № 186-ФЗ «О строительстве жилых домов по договорам строительного подряда с использованием счетов </w:t>
      </w:r>
      <w:r>
        <w:rPr>
          <w:rFonts w:ascii="Times New Roman" w:hAnsi="Times New Roman"/>
          <w:color w:val="000000"/>
          <w:sz w:val="28"/>
        </w:rPr>
        <w:t>эскроу</w:t>
      </w:r>
      <w:r>
        <w:rPr>
          <w:rFonts w:ascii="Times New Roman" w:hAnsi="Times New Roman"/>
          <w:color w:val="000000"/>
          <w:sz w:val="28"/>
        </w:rPr>
        <w:t xml:space="preserve">», который предусматривает создание механизма привлечения, средств граждан в целях строительства индивидуальных жилых домов по договорам строительного подряда с применением счетов </w:t>
      </w:r>
      <w:r>
        <w:rPr>
          <w:rFonts w:ascii="Times New Roman" w:hAnsi="Times New Roman"/>
          <w:color w:val="000000"/>
          <w:sz w:val="28"/>
        </w:rPr>
        <w:t>эскроу</w:t>
      </w:r>
      <w:r>
        <w:rPr>
          <w:rFonts w:ascii="Times New Roman" w:hAnsi="Times New Roman"/>
          <w:color w:val="000000"/>
          <w:sz w:val="28"/>
        </w:rPr>
        <w:t xml:space="preserve"> и регулирования возникающих при этом правоотношений.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Новый механизм создаёт гарантированную защиту вложенных средств граждан на период строительства жилых домов. 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при использовании счетов </w:t>
      </w:r>
      <w:r>
        <w:rPr>
          <w:rFonts w:ascii="Times New Roman" w:hAnsi="Times New Roman"/>
          <w:color w:val="000000"/>
          <w:sz w:val="28"/>
        </w:rPr>
        <w:t>эскроу</w:t>
      </w:r>
      <w:r>
        <w:rPr>
          <w:rFonts w:ascii="Times New Roman" w:hAnsi="Times New Roman"/>
          <w:color w:val="000000"/>
          <w:sz w:val="28"/>
        </w:rPr>
        <w:t xml:space="preserve"> подрядчик сможет получить сумму, уплаченную покупателем, только после того, как дом будет достроен, что может уберечь граждан от действий недобросовестных подрядчиков. При этом использование счетов </w:t>
      </w:r>
      <w:r>
        <w:rPr>
          <w:rFonts w:ascii="Times New Roman" w:hAnsi="Times New Roman"/>
          <w:color w:val="000000"/>
          <w:sz w:val="28"/>
        </w:rPr>
        <w:t>эскроу</w:t>
      </w:r>
      <w:r>
        <w:rPr>
          <w:rFonts w:ascii="Times New Roman" w:hAnsi="Times New Roman"/>
          <w:color w:val="000000"/>
          <w:sz w:val="28"/>
        </w:rPr>
        <w:t xml:space="preserve"> в целях строительства жилого дома не носит обязательный характер, а при договорённости между заказчиком и подрядчиком.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Счет </w:t>
      </w:r>
      <w:r>
        <w:rPr>
          <w:rFonts w:ascii="Times New Roman" w:hAnsi="Times New Roman"/>
          <w:color w:val="000000"/>
          <w:sz w:val="28"/>
        </w:rPr>
        <w:t>эскроу</w:t>
      </w:r>
      <w:r>
        <w:rPr>
          <w:rFonts w:ascii="Times New Roman" w:hAnsi="Times New Roman"/>
          <w:color w:val="000000"/>
          <w:sz w:val="28"/>
        </w:rPr>
        <w:t xml:space="preserve"> можно использовать для расчетов по договору подряда, который заключается с гражданином Российской Федераций в целях возведения жилого дома на земельном участке, находящегося у него в собственности, на праве аренды или безвозмездного пользования.</w:t>
      </w:r>
    </w:p>
    <w:p w14:paraId="33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Установлены новые правила отпуска лекарственных препаратов для медицинского применения.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Приказом Минздрава России от 07.03.2025 № 100н утверждены Правила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подразделениями.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Предусмотрено, что в случае отсутствия у субъекта розничной торговли лекарственного препарата, указанного в рецепте, лекарственный препарат отпускается в срок, не превышающий 10 рабочих дней, с даты обращения гражданина.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случае, если лекарственный препарат выписан на рецепте с пометкой «</w:t>
      </w:r>
      <w:r>
        <w:rPr>
          <w:rFonts w:ascii="Times New Roman" w:hAnsi="Times New Roman"/>
          <w:color w:val="000000"/>
          <w:sz w:val="28"/>
        </w:rPr>
        <w:t>cito</w:t>
      </w:r>
      <w:r>
        <w:rPr>
          <w:rFonts w:ascii="Times New Roman" w:hAnsi="Times New Roman"/>
          <w:color w:val="000000"/>
          <w:sz w:val="28"/>
        </w:rPr>
        <w:t>» (срочно), он отпускается в срок, не превышающий 3 рабочих дней с даты обращения.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необходимости закупки лекарственного препарата, указанного в рецепте, данный лекарственный препарат отпускается субъектом розничной торговли в срок, не превышающий 30 рабочих дней с даты обращения гражданина.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Субъектам розничной торговли запрещается отпускать гражданам лекарственные препараты, которые в соответствии с инструкциями по их медицинскому применению предназначены для применения только в медицинских организациях в стационарных условиях и (или) в условиях дневного стационара.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 вступает в силу 01.09.2025 и действует до 01.09.2031.</w:t>
      </w:r>
    </w:p>
    <w:p w14:paraId="3A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Скорректированы требования к организации общественного питания детей.</w:t>
      </w: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1 марта 2025 года вступили в силу поправки </w:t>
      </w:r>
      <w:r>
        <w:rPr>
          <w:rFonts w:ascii="Times New Roman" w:hAnsi="Times New Roman"/>
          <w:color w:val="000000"/>
          <w:sz w:val="28"/>
        </w:rPr>
        <w:t>к СанПиН</w:t>
      </w:r>
      <w:r>
        <w:rPr>
          <w:rFonts w:ascii="Times New Roman" w:hAnsi="Times New Roman"/>
          <w:color w:val="000000"/>
          <w:sz w:val="28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при организации общественного питания детей в организованных детских коллективах и детских организациях для контроля температуры блюд на линии раздачи должны использоваться термометры.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предотвращения размножения микроорганизмов готовые блюда должны быть реализованы не позднее 2 часов с момента их изготовления.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Детские организации, осуществляющие общественное питание детей в организованных детских коллективах, должны размещать в доступных для родителей и детей местах (в том числе на официальном сайте образовательной организации в сети «Интернет») информацию о ежедневном меню для всех возрастных групп детей.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Уточнены минимальные среднесуточные наборы пищевой продукции, режим питания в зависимости от длительности пребывания детей в дошкольной организации, а также таблица замены пищевой продукции с учетом их пищевой ценности.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 действует до 01.01.2027.</w:t>
      </w:r>
    </w:p>
    <w:p w14:paraId="41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Расширен перечень категорий граждан, имеющих право на получение бесплатной юридической помощи.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Федеральным законом от 01.04.2025 № 48-ФЗ внесены изменения в статью 20 Федерального закона «О бесплатной юридической помощи в Российской Федерации».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правом на получение бесплатной юридической помощи в рамках государственной системы бесплатной юридической помощи наделяются многодетные родители, имеющие трёх и более детей, до достижения старшим ребёнком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бесплатная юридическая помощь оказывается государственными юридическими бюро и адвокатами, являющимися участниками государственной системы бесплатной юридической помощи, в случае представления ими в судах, государственных и муниципальных органах, организациях интересов истцов (заявителей) при рассмотрении дел об установлении и оспаривании отцовства (материнства).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Поправки вступили в законную силу.</w:t>
      </w:r>
    </w:p>
    <w:p w14:paraId="46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Обновлены правила предоставления отпусков работникам, усыновившим ребёнка.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постановлением Правительства РФ от 24.03.2025 № 351 работникам, усыновившим ребенка, предоставляются отпуска по уходу за ребенком: 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период со дня усыновления ребенка и до истечения 70 календарных дней со дня рождения ребенка, а при одновременном усыновлении 2 и более детей - 110 календарных дней со дня их рождения;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достижения ребенком возраста 3 лет.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усыновления ребенка (детей) обоими супругами указанные отпуска предоставляются одному из супругов по их усмотрению.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получения такого отпуска </w:t>
      </w:r>
      <w:r>
        <w:rPr>
          <w:rFonts w:ascii="Times New Roman" w:hAnsi="Times New Roman"/>
          <w:color w:val="000000"/>
          <w:sz w:val="28"/>
        </w:rPr>
        <w:t>работникподает</w:t>
      </w:r>
      <w:r>
        <w:rPr>
          <w:rFonts w:ascii="Times New Roman" w:hAnsi="Times New Roman"/>
          <w:color w:val="000000"/>
          <w:sz w:val="28"/>
        </w:rPr>
        <w:t xml:space="preserve"> по месту работы заявление о предоставлении отпуска с указанием его продолжительности (с предъявлением решения или копии решения суда об усыновлении ребенка (детей). К заявлению прилагается копия свидетельства о рождении ребенка (детей).</w:t>
      </w:r>
    </w:p>
    <w:p w14:paraId="4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усыновлении ребенка (детей) обоими супругами работником дополнительно представляется справка с места работы (службы, учебы) супруга о том, что указанный отпуск им не используется или что супруга не находится в отпуске по беременности и родам, который может быть предоставлен вместо отпуска по уходу за ребенком.</w:t>
      </w:r>
    </w:p>
    <w:p w14:paraId="4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Усыновителям также назначается и выплачивается пособие в порядке и размере, которые установлены для выплаты пособия по беременности и родам.</w:t>
      </w:r>
    </w:p>
    <w:p w14:paraId="4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вступят в силу с 1 сентября 2025 года и будут действовать до 1 сентября 2031 года.</w:t>
      </w:r>
    </w:p>
    <w:p w14:paraId="4F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 сохранить прожиточный минимум при взыскании долгов судебными приставами.</w:t>
      </w:r>
    </w:p>
    <w:p w14:paraId="5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Федеральным законом от 02.10.2007 № 229-ФЗ «Об исполнительном производстве» судебные приставы имеют право взыскать долги с доходов должника. </w:t>
      </w:r>
      <w:r>
        <w:rPr>
          <w:rFonts w:ascii="Times New Roman" w:hAnsi="Times New Roman"/>
          <w:color w:val="000000"/>
          <w:sz w:val="28"/>
        </w:rPr>
        <w:t>Однако законодательством предусмотрены ограничения, направленные на защиту интересов должника.</w:t>
      </w:r>
    </w:p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Судебные приставы могут удерживать до 50 % заработной платы и иного дохода должника для погашения долга. В некоторых случаях, например, при взыскании алиментов, ущерба, причиненного преступлением, эта доля может составить до 70 %.</w:t>
      </w:r>
    </w:p>
    <w:p w14:paraId="5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сохранения прожиточного минимума должник имеет право подать заявление судебному приставу-исполнителю, к которому необходимо приложить документы, подтверждающие доходы и расходы, а также указать причины, по которым оставление данной суммы является необходимым.</w:t>
      </w:r>
    </w:p>
    <w:p w14:paraId="5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должник может обратиться в суд с заявлением об уменьшении размера удержаний или изменении порядка взыскания долга.</w:t>
      </w:r>
    </w:p>
    <w:p w14:paraId="5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судебный пристав нарушает права должника, последний имеет право на обжалование его действий в вышестоящем органе, суде или прокуратуре.</w:t>
      </w:r>
    </w:p>
    <w:p w14:paraId="55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делать, если заболел в отпуске?</w:t>
      </w:r>
    </w:p>
    <w:p w14:paraId="5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Больничный лист в период отпуска оформляется в обычном порядке: сотрудник обращается в медицинское учреждение, где его осматривает врач, который назначает проведение необходимых обследований и оформляет листок нетрудоспособности.</w:t>
      </w:r>
    </w:p>
    <w:p w14:paraId="5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ст. 124 Трудового кодекса РФ в случае временной нетрудоспособности работника ежегодный оплачиваемый отпуск ему должен быть продлен или перенесен на другой срок, определяемый работодателем с учетом пожеланий работника.</w:t>
      </w:r>
    </w:p>
    <w:p w14:paraId="5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Отпуск не продлевается (и не переносится) в ситуации, когда работнику предоставлен отпуск с последующим увольнением, поскольку в таком случае фактически трудовые отношения с работником прекращаются с момента начала </w:t>
      </w:r>
      <w:r>
        <w:rPr>
          <w:rFonts w:ascii="Times New Roman" w:hAnsi="Times New Roman"/>
          <w:color w:val="000000"/>
          <w:sz w:val="28"/>
        </w:rPr>
        <w:t>отпуска(</w:t>
      </w:r>
      <w:r>
        <w:rPr>
          <w:rFonts w:ascii="Times New Roman" w:hAnsi="Times New Roman"/>
          <w:color w:val="000000"/>
          <w:sz w:val="28"/>
        </w:rPr>
        <w:t xml:space="preserve">письмо </w:t>
      </w:r>
      <w:r>
        <w:rPr>
          <w:rFonts w:ascii="Times New Roman" w:hAnsi="Times New Roman"/>
          <w:color w:val="000000"/>
          <w:sz w:val="28"/>
        </w:rPr>
        <w:t>Роструда</w:t>
      </w:r>
      <w:r>
        <w:rPr>
          <w:rFonts w:ascii="Times New Roman" w:hAnsi="Times New Roman"/>
          <w:color w:val="000000"/>
          <w:sz w:val="28"/>
        </w:rPr>
        <w:t xml:space="preserve"> от 24.12.2007 N 5277-6-1). Вместе с тем больничный лист оплачивается работнику за все календарные дни болезни.</w:t>
      </w:r>
    </w:p>
    <w:p w14:paraId="5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сотрудник заболел или травмировался во время основного или дополнительного отпуска, он вправе получить пособие по временной нетрудоспособности. Это пособие выплачивается за все календарные дни, включая выходные и праздничные, приходящиеся на период нетрудоспособности.</w:t>
      </w:r>
    </w:p>
    <w:p w14:paraId="5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сотрудник заболел в отпуске за свой счет (без сохранения зарплаты), то пособие за этот период выплачивается со дня, следующего за днем окончания такого отпуска, если временная нетрудоспособность продолжается. Дни </w:t>
      </w:r>
      <w:r>
        <w:rPr>
          <w:rFonts w:ascii="Times New Roman" w:hAnsi="Times New Roman"/>
          <w:color w:val="000000"/>
          <w:sz w:val="28"/>
        </w:rPr>
        <w:t>нетрудоспособности, приходящиеся на время неоплачиваемого отпуска, также не оплачиваются.</w:t>
      </w:r>
    </w:p>
    <w:p w14:paraId="5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Дни нетрудоспособности во время учебного отпуска не оплачиваются, поскольку болезнь в период учебного отпуска к утрате заработка не приводит. Однако дни нетрудоспособности сотрудника до и после учебного отпуска оплачиваются по общим правилам.</w:t>
      </w:r>
    </w:p>
    <w:p w14:paraId="5C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За оставление ребенка в угрожающем его жизни или здоровью положении предусмотрена уголовная ответственность.</w:t>
      </w:r>
    </w:p>
    <w:p w14:paraId="5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Семейным кодексом РФ обязанность по воспитанию детей, обучению, заботе о них и об их физическом, психическом, духовном и нравственном развитии возложена на родителей или иных законных представителей несовершеннолетних.</w:t>
      </w:r>
    </w:p>
    <w:p w14:paraId="5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Ребенок, который остался без присмотра взрослых, может попасть в ситуацию, угрожающую его жизни или здоровью.</w:t>
      </w:r>
    </w:p>
    <w:p w14:paraId="5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Нерадивые родители, по вине которых пострадали дети, при определенных условиях могут быть привлечены к уголовной ответственности.</w:t>
      </w:r>
    </w:p>
    <w:p w14:paraId="6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ст. 125 Уголовного кодекса РФ предусматривает ответственность за оставление в опасности, которая заключается в заведомом оставлении ребенка </w:t>
      </w:r>
      <w:r>
        <w:rPr>
          <w:rFonts w:ascii="Times New Roman" w:hAnsi="Times New Roman"/>
          <w:color w:val="000000"/>
          <w:sz w:val="28"/>
        </w:rPr>
        <w:t>в угрожающем его жизни или здоровью положении. Виновный понесет наказание вплоть до лишения свободы на срок до одного года, если он имел реальную возможность и был обязан оказать ребенку необходимую помощь, но не сделал этого.</w:t>
      </w:r>
    </w:p>
    <w:p w14:paraId="6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случае, если родители или иные законные представители вследствие грубой невнимательности, неосмотрительности, причиняют ребенку по неосторожности смерть, то их действия квалифицируются по ст. 109 Уголовного кодекса РФ.</w:t>
      </w:r>
    </w:p>
    <w:p w14:paraId="6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 данные действия виновные понесут наказание в виде лишения свободы на срок до двух лет. В случае, если их неосторожные действия повлекли смерть двух и более человек, то наказание предусматривает лишение свободы на срок до 4-х лет.</w:t>
      </w:r>
    </w:p>
    <w:p w14:paraId="63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Утверждены новые сроки оказания медицинской помощи.</w:t>
      </w: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Постановлением Правительства РФ от 27.12.2024 №1490 утверждена Программа государственных гарантий бесплатного оказания гражданам медицинской помощи на 2025 год и на плановый период 2026 и 2027 </w:t>
      </w:r>
      <w:r>
        <w:rPr>
          <w:rFonts w:ascii="Times New Roman" w:hAnsi="Times New Roman"/>
          <w:color w:val="000000"/>
          <w:sz w:val="28"/>
        </w:rPr>
        <w:t>г.г</w:t>
      </w:r>
      <w:r>
        <w:rPr>
          <w:rFonts w:ascii="Times New Roman" w:hAnsi="Times New Roman"/>
          <w:color w:val="000000"/>
          <w:sz w:val="28"/>
        </w:rPr>
        <w:t>.</w:t>
      </w:r>
    </w:p>
    <w:p w14:paraId="6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срок ожидания оказания первичной медико-санитарной помощи в неотложной форме составляет не более 2 часов с момента обращения пациента в медицинскую организацию. Сроки ожидания приема участковыми врачами-терапевтами, а также врачами общей практики и участковыми педиатрами составляет не более 24 часов с момента такого обращения.</w:t>
      </w:r>
    </w:p>
    <w:p w14:paraId="6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позднее 14 дней со дня обращения пациента в медучреждение должен быть организован прием узкими специалистами (хирург, невролог, окулист и др.).</w:t>
      </w:r>
    </w:p>
    <w:p w14:paraId="6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Время подъезда бригад скорой помощи до пациента составляет не более 20 минут при оказании скорой медицинской помощи в экстренной форме.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наличии или подозрении у пациента онкологического заболевания сроки оказания медицинской помощи составляют:</w:t>
      </w: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консультации узких специалистов организуются в срок не позднее 3 рабочих дней. Помимо того, не позднее 3 рабочих дней с момента постановки диагноза врачом-онкологом устанавливается диспансерное наблюдение за пациентом;</w:t>
      </w:r>
    </w:p>
    <w:p w14:paraId="6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сокращаются до 7 рабочих дней со дня назначения сроки проведения диагностических инструментальных и лабораторных исследований;</w:t>
      </w:r>
    </w:p>
    <w:p w14:paraId="6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для оказания плановой специализированной (за исключением высокотехнологичной) медицинской помощи для пациентов с онкологическим профилем не более 7 дней со дня установления диагноза (состояния).</w:t>
      </w:r>
    </w:p>
    <w:p w14:paraId="6C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Какие последствия влечет признание гражданина банкротом?</w:t>
      </w:r>
    </w:p>
    <w:p w14:paraId="6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 дня признания арбитражным судом гражданина банкротом прекращается начисление неустоек (штрафов, пеней) и иных финансовых санкций, а также процентов по всем обязательствам гражданина (за исключением текущих платежей), задолженность перед кредитором - кредитной организацией признается безнадежной.</w:t>
      </w:r>
    </w:p>
    <w:p w14:paraId="6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права в отношении имущества, составляющего конкурсную массу, в том числе на распоряжение им, осуществляются только финансовым управляющим от имени гражданина и не могут осуществляться гражданином лично.</w:t>
      </w:r>
    </w:p>
    <w:p w14:paraId="6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признания гражданина банкротом арбитражный суд вправе вынести определение о временном ограничении права на выезд гражданина из Российской Федерации.</w:t>
      </w: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Признание гражданина банкротом в течение установленного срока с даты завершения процедуры реализации его имущества или прекращения производства по делу о банкротстве влечет следующие последствия:</w:t>
      </w:r>
    </w:p>
    <w:p w14:paraId="7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 течение 5 лет гражданин не вправе принимать на себя обязательства по кредитным договорам и (или) договорам займа без указания на факт своего банкротства;</w:t>
      </w:r>
    </w:p>
    <w:p w14:paraId="7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 течение 5 лет дело банкротстве не может быть возбуждено по заявлению этого гражданина;</w:t>
      </w:r>
    </w:p>
    <w:p w14:paraId="7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гражданин не вправе занимать должности в органах управления юридического лица или иным образом участвовать в его управлении в течение следующих периодов: </w:t>
      </w:r>
      <w:r>
        <w:rPr>
          <w:rFonts w:ascii="Times New Roman" w:hAnsi="Times New Roman"/>
          <w:color w:val="000000"/>
          <w:sz w:val="28"/>
        </w:rPr>
        <w:t xml:space="preserve">10 лет - в отношении кредитной организации; </w:t>
      </w:r>
      <w:r>
        <w:rPr>
          <w:rFonts w:ascii="Times New Roman" w:hAnsi="Times New Roman"/>
          <w:color w:val="000000"/>
          <w:sz w:val="28"/>
        </w:rPr>
        <w:t xml:space="preserve">5 лет - в отношении страховой организации, НПФ, управляющей компании инвестиционного фонда, паевого инвестиционного фонда и НПФ или </w:t>
      </w:r>
      <w:r>
        <w:rPr>
          <w:rFonts w:ascii="Times New Roman" w:hAnsi="Times New Roman"/>
          <w:color w:val="000000"/>
          <w:sz w:val="28"/>
        </w:rPr>
        <w:t>микрофинансовой</w:t>
      </w:r>
      <w:r>
        <w:rPr>
          <w:rFonts w:ascii="Times New Roman" w:hAnsi="Times New Roman"/>
          <w:color w:val="000000"/>
          <w:sz w:val="28"/>
        </w:rPr>
        <w:t xml:space="preserve"> компании; </w:t>
      </w:r>
      <w:r>
        <w:rPr>
          <w:rFonts w:ascii="Times New Roman" w:hAnsi="Times New Roman"/>
          <w:color w:val="000000"/>
          <w:sz w:val="28"/>
        </w:rPr>
        <w:t>3 года - в отношении иных организаций.</w:t>
      </w:r>
    </w:p>
    <w:p w14:paraId="74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Дети до 18 лет получают наследство независимо от завещания.</w:t>
      </w:r>
    </w:p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Несовершеннолетний ребенок может стать наследником по закону или по завещанию.</w:t>
      </w:r>
    </w:p>
    <w:p w14:paraId="7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наследования по закону согласно порядку очередности, установленному ст. 1142 ГК РФ, к наследованию в первую очередь призываются дети, супруг и родители наследодателя. В этом случае наследство делится между наследниками в равных долях.</w:t>
      </w:r>
    </w:p>
    <w:p w14:paraId="7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 наследования по завещанию наследство не делится между наследниками. Однако, законом предусмотрено право на обязательную долю в наследстве (ст. 1149 ГК РФ) вне зависимости от воли наследодателя. </w:t>
      </w:r>
      <w:r>
        <w:rPr>
          <w:rFonts w:ascii="Times New Roman" w:hAnsi="Times New Roman"/>
          <w:color w:val="000000"/>
          <w:sz w:val="28"/>
        </w:rPr>
        <w:t>Обязательную долю в наследстве всегда имеют несовершеннолетние дети (как родные, так и усыновленные), а также нетрудоспособные (от 18 лет) дети наследодателя.</w:t>
      </w:r>
    </w:p>
    <w:p w14:paraId="7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Расторжение брака родителей или их раздельное проживание не влияют на право ребенка наследовать имущество родителя. </w:t>
      </w:r>
      <w:r>
        <w:rPr>
          <w:rFonts w:ascii="Times New Roman" w:hAnsi="Times New Roman"/>
          <w:color w:val="000000"/>
          <w:sz w:val="28"/>
        </w:rPr>
        <w:t>При этом, если родитель не включил несовершеннолетнего ребенка в завещание, то часть наследства становится меньше.</w:t>
      </w:r>
    </w:p>
    <w:p w14:paraId="7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смерти родителя, не включившего несовершеннолетнего или нетрудоспособного ребенка в завещание, такой ребенок получит не менее половины того, что он мог бы получить в случае наследования по закону.</w:t>
      </w:r>
    </w:p>
    <w:p w14:paraId="7A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За неоднократную продажу несовершеннолетним табачной продукции предусмотрена уголовная ответственность.</w:t>
      </w:r>
    </w:p>
    <w:p w14:paraId="7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Федеральным законом от 28.12.2024 № 515-ФЗ внесены изменения в статью 151.1 Уголовного кодекса РФ, направленные на усиление мер защиты жизни и здоровья несовершеннолетних от табачной и </w:t>
      </w:r>
      <w:r>
        <w:rPr>
          <w:rFonts w:ascii="Times New Roman" w:hAnsi="Times New Roman"/>
          <w:color w:val="000000"/>
          <w:sz w:val="28"/>
        </w:rPr>
        <w:t>никотинсодержащей</w:t>
      </w:r>
      <w:r>
        <w:rPr>
          <w:rFonts w:ascii="Times New Roman" w:hAnsi="Times New Roman"/>
          <w:color w:val="000000"/>
          <w:sz w:val="28"/>
        </w:rPr>
        <w:t xml:space="preserve"> продукции, а также от последствий её потребления.</w:t>
      </w: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связи с этим устанавливается уголовная ответственность за неоднократную розничную продажу несовершеннолетним табачной продукции, табачных изделий, </w:t>
      </w:r>
      <w:r>
        <w:rPr>
          <w:rFonts w:ascii="Times New Roman" w:hAnsi="Times New Roman"/>
          <w:color w:val="000000"/>
          <w:sz w:val="28"/>
        </w:rPr>
        <w:t>никотинсодержащей</w:t>
      </w:r>
      <w:r>
        <w:rPr>
          <w:rFonts w:ascii="Times New Roman" w:hAnsi="Times New Roman"/>
          <w:color w:val="000000"/>
          <w:sz w:val="28"/>
        </w:rPr>
        <w:t xml:space="preserve"> продукции, сырья для их производства, а также кальянов и устройств для потребления </w:t>
      </w:r>
      <w:r>
        <w:rPr>
          <w:rFonts w:ascii="Times New Roman" w:hAnsi="Times New Roman"/>
          <w:color w:val="000000"/>
          <w:sz w:val="28"/>
        </w:rPr>
        <w:t>никотинсодержащей</w:t>
      </w:r>
      <w:r>
        <w:rPr>
          <w:rFonts w:ascii="Times New Roman" w:hAnsi="Times New Roman"/>
          <w:color w:val="000000"/>
          <w:sz w:val="28"/>
        </w:rPr>
        <w:t xml:space="preserve"> продукции.</w:t>
      </w:r>
    </w:p>
    <w:p w14:paraId="7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 неоднократной розничной продажей указанной продукции признается розничная продажа лицом, подвергнутым административному наказанию за аналогичное деяние, в период, когда лицо считается подвергнутым такому наказанию (ч. 3 ст. 14.53 КоАП РФ).</w:t>
      </w: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Уголовная ответственность за совершение указанного деяния предусмотрена в виде штрафа в размере от 50 тысяч до 80 тысяч рублей либо исправительных работ на срок до одного года.</w:t>
      </w:r>
    </w:p>
    <w:p w14:paraId="7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Следует также отметить, что с 1 марта 2025 года в соответствии с Федеральным законом от 28.12.2024 № 542-ФЗ к </w:t>
      </w:r>
      <w:r>
        <w:rPr>
          <w:rFonts w:ascii="Times New Roman" w:hAnsi="Times New Roman"/>
          <w:color w:val="000000"/>
          <w:sz w:val="28"/>
        </w:rPr>
        <w:t>никотинсодержащей</w:t>
      </w:r>
      <w:r>
        <w:rPr>
          <w:rFonts w:ascii="Times New Roman" w:hAnsi="Times New Roman"/>
          <w:color w:val="000000"/>
          <w:sz w:val="28"/>
        </w:rPr>
        <w:t xml:space="preserve"> продукции </w:t>
      </w:r>
      <w:r>
        <w:rPr>
          <w:rFonts w:ascii="Times New Roman" w:hAnsi="Times New Roman"/>
          <w:color w:val="000000"/>
          <w:sz w:val="28"/>
        </w:rPr>
        <w:t>приравниваютсябестабачные</w:t>
      </w:r>
      <w:r>
        <w:rPr>
          <w:rFonts w:ascii="Times New Roman" w:hAnsi="Times New Roman"/>
          <w:color w:val="000000"/>
          <w:sz w:val="28"/>
        </w:rPr>
        <w:t xml:space="preserve"> смеси для нагревания (кальянные смеси на основе </w:t>
      </w:r>
      <w:r>
        <w:rPr>
          <w:rFonts w:ascii="Times New Roman" w:hAnsi="Times New Roman"/>
          <w:color w:val="000000"/>
          <w:sz w:val="28"/>
        </w:rPr>
        <w:t>нетабачного</w:t>
      </w:r>
      <w:r>
        <w:rPr>
          <w:rFonts w:ascii="Times New Roman" w:hAnsi="Times New Roman"/>
          <w:color w:val="000000"/>
          <w:sz w:val="28"/>
        </w:rPr>
        <w:t xml:space="preserve"> сырья, как правило, с добавлением </w:t>
      </w:r>
      <w:r>
        <w:rPr>
          <w:rFonts w:ascii="Times New Roman" w:hAnsi="Times New Roman"/>
          <w:color w:val="000000"/>
          <w:sz w:val="28"/>
        </w:rPr>
        <w:t>вкусоароматических</w:t>
      </w:r>
      <w:r>
        <w:rPr>
          <w:rFonts w:ascii="Times New Roman" w:hAnsi="Times New Roman"/>
          <w:color w:val="000000"/>
          <w:sz w:val="28"/>
        </w:rPr>
        <w:t xml:space="preserve"> и прочих веществ). </w:t>
      </w:r>
      <w:r>
        <w:rPr>
          <w:rFonts w:ascii="Times New Roman" w:hAnsi="Times New Roman"/>
          <w:color w:val="000000"/>
          <w:sz w:val="28"/>
        </w:rPr>
        <w:t>Внесенные поправки направлены на преодоление и предупреждение никотиновой зависимости у молодежи и послужит основой для последующих мер по предотвращению незаконной торговли подобными изделиями.</w:t>
      </w:r>
    </w:p>
    <w:p w14:paraId="80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Административная и уголовная ответственность за размещение в сети Интернет материалов, дискредитирующих Вооруженные Силы Российской Федерации.</w:t>
      </w:r>
    </w:p>
    <w:p w14:paraId="8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Административная ответственность за публичную дискредитацию Вооруженных Сил Российской Федерации, а равно государственных органов, добровольческих формирований и войск национальной гвардии, предусмотрена статьей 20.3.3 Кодекса об административных правонарушениях Российской Федерации.</w:t>
      </w: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Публичная дискредитация включает размещение в сети Интернет информации, направленной на лишение доверия и подрыв авторитета Вооруженных Сил.</w:t>
      </w:r>
    </w:p>
    <w:p w14:paraId="8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Такие правонарушения наказываются штрафом, размер которого для граждан определен от 30 до 50 тысяч рублей.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случае, если такая дискредитация сопряжена с призывами к проведению несанкционированных публичных мероприятий, а равно создает угрозу </w:t>
      </w:r>
      <w:r>
        <w:rPr>
          <w:rFonts w:ascii="Times New Roman" w:hAnsi="Times New Roman"/>
          <w:color w:val="000000"/>
          <w:sz w:val="28"/>
        </w:rPr>
        <w:t>массового  нарушения</w:t>
      </w:r>
      <w:r>
        <w:rPr>
          <w:rFonts w:ascii="Times New Roman" w:hAnsi="Times New Roman"/>
          <w:color w:val="000000"/>
          <w:sz w:val="28"/>
        </w:rPr>
        <w:t xml:space="preserve"> общественного порядка или иных тяжких последствий, размер штрафа для граждан составит от 50 до 100 тысяч рублей.</w:t>
      </w: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Повторное в течение года размещение в сети Интернет дискредитирующих Вооруженные Силы материалов лицом, привлеченным к ответственности по ст. 20.3.3 </w:t>
      </w:r>
      <w:r>
        <w:rPr>
          <w:rFonts w:ascii="Times New Roman" w:hAnsi="Times New Roman"/>
          <w:color w:val="000000"/>
          <w:sz w:val="28"/>
        </w:rPr>
        <w:t>КоАП  РФ</w:t>
      </w:r>
      <w:r>
        <w:rPr>
          <w:rFonts w:ascii="Times New Roman" w:hAnsi="Times New Roman"/>
          <w:color w:val="000000"/>
          <w:sz w:val="28"/>
        </w:rPr>
        <w:t xml:space="preserve">, влечет уголовную ответственность по ст. 280.3 Уголовного кодекса Российской Федерации. Наказание предусмотрено от штрафа в размере 100 тысяч рублей </w:t>
      </w:r>
      <w:r>
        <w:rPr>
          <w:rFonts w:ascii="Times New Roman" w:hAnsi="Times New Roman"/>
          <w:color w:val="000000"/>
          <w:sz w:val="28"/>
        </w:rPr>
        <w:t>до  лишения</w:t>
      </w:r>
      <w:r>
        <w:rPr>
          <w:rFonts w:ascii="Times New Roman" w:hAnsi="Times New Roman"/>
          <w:color w:val="000000"/>
          <w:sz w:val="28"/>
        </w:rPr>
        <w:t xml:space="preserve"> свободы на срок до 5 лет, а в случае, если это привело к смерти граждан, массовому нарушению общественного порядка или иным опасным последствиям,  срок лишения свободы может составить до 7 лет.</w:t>
      </w:r>
    </w:p>
    <w:p w14:paraId="8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Наиболее строгая ответственность предусмотрена статьей 207.3 Уголовного кодекса Российской Федерации за распространение заведомо ложной информации </w:t>
      </w:r>
      <w:r>
        <w:rPr>
          <w:rFonts w:ascii="Times New Roman" w:hAnsi="Times New Roman"/>
          <w:color w:val="000000"/>
          <w:sz w:val="28"/>
        </w:rPr>
        <w:t>об  использовании</w:t>
      </w:r>
      <w:r>
        <w:rPr>
          <w:rFonts w:ascii="Times New Roman" w:hAnsi="Times New Roman"/>
          <w:color w:val="000000"/>
          <w:sz w:val="28"/>
        </w:rPr>
        <w:t xml:space="preserve"> Вооруженных Сил. Минимальное наказание за такое деяние предусмотрено в виде штрафа в размере от 700 тысяч рублей, а максимальное в </w:t>
      </w:r>
      <w:r>
        <w:rPr>
          <w:rFonts w:ascii="Times New Roman" w:hAnsi="Times New Roman"/>
          <w:color w:val="000000"/>
          <w:sz w:val="28"/>
        </w:rPr>
        <w:t>виде  лишения</w:t>
      </w:r>
      <w:r>
        <w:rPr>
          <w:rFonts w:ascii="Times New Roman" w:hAnsi="Times New Roman"/>
          <w:color w:val="000000"/>
          <w:sz w:val="28"/>
        </w:rPr>
        <w:t xml:space="preserve"> свободы на срок до 5 лет.</w:t>
      </w:r>
    </w:p>
    <w:p w14:paraId="8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распространение ложной информации повлекло тяжкие последствия, срок лишения свободы составит от 10 до 15 лет.</w:t>
      </w:r>
    </w:p>
    <w:p w14:paraId="8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Ответственность за такие деяния наступает с 16-летнего возраста.</w:t>
      </w:r>
    </w:p>
    <w:p w14:paraId="8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8A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Мошенники выдают себя за службы доставки.</w:t>
      </w:r>
    </w:p>
    <w:p w14:paraId="8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Новая схема мошенничества: поддельные уведомления от служб доставки. Злоумышленники начали притворяться популярными сервисами доставки, чтобы получить доступ к вашим личным данным и украсть деньги со счетов.</w:t>
      </w:r>
    </w:p>
    <w:p w14:paraId="8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Сначала вы получаете ложное сообщение о том, что ваш заказ готов к отправке, хотя вы ничего не заказывали.</w:t>
      </w:r>
    </w:p>
    <w:p w14:paraId="8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последующем приходит смс-сообщение с предложением отследить посылку, чтобы узнать детали отправления. В данном сообщении находится ссылка на </w:t>
      </w:r>
      <w:r>
        <w:rPr>
          <w:rFonts w:ascii="Times New Roman" w:hAnsi="Times New Roman"/>
          <w:color w:val="000000"/>
          <w:sz w:val="28"/>
        </w:rPr>
        <w:t>интернет-ресурс</w:t>
      </w:r>
      <w:r>
        <w:rPr>
          <w:rFonts w:ascii="Times New Roman" w:hAnsi="Times New Roman"/>
          <w:color w:val="000000"/>
          <w:sz w:val="28"/>
        </w:rPr>
        <w:t>.</w:t>
      </w:r>
    </w:p>
    <w:p w14:paraId="8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спешите переходить по ссылке из сообщения, поскольку ссылка ведет на </w:t>
      </w:r>
      <w:r>
        <w:rPr>
          <w:rFonts w:ascii="Times New Roman" w:hAnsi="Times New Roman"/>
          <w:color w:val="000000"/>
          <w:sz w:val="28"/>
        </w:rPr>
        <w:t>фишинговый</w:t>
      </w:r>
      <w:r>
        <w:rPr>
          <w:rFonts w:ascii="Times New Roman" w:hAnsi="Times New Roman"/>
          <w:color w:val="000000"/>
          <w:sz w:val="28"/>
        </w:rPr>
        <w:t xml:space="preserve"> сайт, который очень похож на официальный сайт служб доставки (СДЭК, Яндекс Доставка, </w:t>
      </w:r>
      <w:r>
        <w:rPr>
          <w:rFonts w:ascii="Times New Roman" w:hAnsi="Times New Roman"/>
          <w:color w:val="000000"/>
          <w:sz w:val="28"/>
        </w:rPr>
        <w:t>СберМаркет</w:t>
      </w:r>
      <w:r>
        <w:rPr>
          <w:rFonts w:ascii="Times New Roman" w:hAnsi="Times New Roman"/>
          <w:color w:val="000000"/>
          <w:sz w:val="28"/>
        </w:rPr>
        <w:t> и др.).</w:t>
      </w:r>
    </w:p>
    <w:p w14:paraId="8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Однако, если вы перейдете по ссылке, вас обяжут ввести номер банковской карты, паспортные данные либо логин и пароль банковского приложения.</w:t>
      </w:r>
    </w:p>
    <w:p w14:paraId="9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Получив такие данные, мошенники списывают все ваши деньги со счета на банковские счета </w:t>
      </w:r>
      <w:r>
        <w:rPr>
          <w:rFonts w:ascii="Times New Roman" w:hAnsi="Times New Roman"/>
          <w:color w:val="000000"/>
          <w:sz w:val="28"/>
        </w:rPr>
        <w:t>дропперов</w:t>
      </w:r>
      <w:r>
        <w:rPr>
          <w:rFonts w:ascii="Times New Roman" w:hAnsi="Times New Roman"/>
          <w:color w:val="000000"/>
          <w:sz w:val="28"/>
        </w:rPr>
        <w:t>.</w:t>
      </w:r>
    </w:p>
    <w:p w14:paraId="9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переходите по подозрительным ссылкам из сообщений, особенно если вы не ожидаете доставок.</w:t>
      </w:r>
    </w:p>
    <w:p w14:paraId="9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Проверяйте отправителя сообщений, убедитесь, что сообщение пришло с официального номера или аккаунта службы доставки.</w:t>
      </w:r>
    </w:p>
    <w:p w14:paraId="9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вводите личные данные на сайтах, перешедших по ссылкам из сообщений.</w:t>
      </w:r>
    </w:p>
    <w:p w14:paraId="9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у вас есть сомнения, позвоните в службу поддержки официального сервиса доставки либо воспользуйтесь личным кабинетом в официальном приложении или на сайте службы доставки.</w:t>
      </w:r>
    </w:p>
    <w:p w14:paraId="9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условиях роста подобных преступлений в отношении граждан будьте бдительны и предупреждайте своих близких о новых видах мошенничества!</w:t>
      </w:r>
    </w:p>
    <w:p w14:paraId="96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Мошенники продолжают активно использовать новые технологии для обмана граждан.</w:t>
      </w:r>
    </w:p>
    <w:p w14:paraId="9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последнее время активное распространение получило мошенничество с использованием искусственного интеллекта, когда создаются аудио- и </w:t>
      </w:r>
      <w:r>
        <w:rPr>
          <w:rFonts w:ascii="Times New Roman" w:hAnsi="Times New Roman"/>
          <w:color w:val="000000"/>
          <w:sz w:val="28"/>
        </w:rPr>
        <w:t>видеоподделки</w:t>
      </w:r>
      <w:r>
        <w:rPr>
          <w:rFonts w:ascii="Times New Roman" w:hAnsi="Times New Roman"/>
          <w:color w:val="000000"/>
          <w:sz w:val="28"/>
        </w:rPr>
        <w:t xml:space="preserve"> голосов и изображений знакомых или официальных лиц (начальника, родственника, сотрудника банка) с помощью </w:t>
      </w:r>
      <w:r>
        <w:rPr>
          <w:rFonts w:ascii="Times New Roman" w:hAnsi="Times New Roman"/>
          <w:color w:val="000000"/>
          <w:sz w:val="28"/>
        </w:rPr>
        <w:t>нейросетей</w:t>
      </w:r>
      <w:r>
        <w:rPr>
          <w:rFonts w:ascii="Times New Roman" w:hAnsi="Times New Roman"/>
          <w:color w:val="000000"/>
          <w:sz w:val="28"/>
        </w:rPr>
        <w:t>. С их помощью мошенники просят срочно перевести деньги или передать конфиденциальные данные.</w:t>
      </w:r>
    </w:p>
    <w:p w14:paraId="9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распространенным видам мошенничества также относятся:</w:t>
      </w:r>
    </w:p>
    <w:p w14:paraId="9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фиктивные обновления цифрового рубля, когда мошенники рассылают от имени Банка России сообщения о необходимости «обменять» обычные рубли на цифровые, иначе они «сгорят». На самом деле это попытка выманить деньги!</w:t>
      </w:r>
    </w:p>
    <w:p w14:paraId="9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обман через образовательные платформы (например, «</w:t>
      </w:r>
      <w:r>
        <w:rPr>
          <w:rFonts w:ascii="Times New Roman" w:hAnsi="Times New Roman"/>
          <w:color w:val="000000"/>
          <w:sz w:val="28"/>
        </w:rPr>
        <w:t>Сферум</w:t>
      </w:r>
      <w:r>
        <w:rPr>
          <w:rFonts w:ascii="Times New Roman" w:hAnsi="Times New Roman"/>
          <w:color w:val="000000"/>
          <w:sz w:val="28"/>
        </w:rPr>
        <w:t xml:space="preserve">»), когда мошенники внедряются в чаты родителей или студентов, предлагая обновить профиль, выманивая тем самым коды из СМС для доступа к </w:t>
      </w:r>
      <w:r>
        <w:rPr>
          <w:rFonts w:ascii="Times New Roman" w:hAnsi="Times New Roman"/>
          <w:color w:val="000000"/>
          <w:sz w:val="28"/>
        </w:rPr>
        <w:t>Госуслугам</w:t>
      </w:r>
      <w:r>
        <w:rPr>
          <w:rFonts w:ascii="Times New Roman" w:hAnsi="Times New Roman"/>
          <w:color w:val="000000"/>
          <w:sz w:val="28"/>
        </w:rPr>
        <w:t>;</w:t>
      </w:r>
    </w:p>
    <w:p w14:paraId="9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поддельные QR-коды в подъездах, на парковках, на платежных документах, когда мошенники наклеивают свои QR-коды поверх легальных (например, на квитанциях или объявлениях). При сканировании жертва попадает на </w:t>
      </w:r>
      <w:r>
        <w:rPr>
          <w:rFonts w:ascii="Times New Roman" w:hAnsi="Times New Roman"/>
          <w:color w:val="000000"/>
          <w:sz w:val="28"/>
        </w:rPr>
        <w:t>фишинговый</w:t>
      </w:r>
      <w:r>
        <w:rPr>
          <w:rFonts w:ascii="Times New Roman" w:hAnsi="Times New Roman"/>
          <w:color w:val="000000"/>
          <w:sz w:val="28"/>
        </w:rPr>
        <w:t xml:space="preserve"> сайт или заражает устройство вирусом;</w:t>
      </w:r>
    </w:p>
    <w:p w14:paraId="9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диагностика телефона от имени банка, когда мошенники совершают звонок от службы безопасности банка с предложением проверить телефон на уязвимость. На самом деле – это попытка установить вредоносное программное обеспечение!</w:t>
      </w:r>
    </w:p>
    <w:p w14:paraId="9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мошенничество с недвижимостью через спецслужбы, когда мошенники представляются сотрудниками правоохранительных органов, убеждая жертву переписать квартиру на временного владельца из-за угрозы рейдерского захвата.</w:t>
      </w:r>
    </w:p>
    <w:p w14:paraId="9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не стать жертвой мошенников запомните простые правила: никому не сообщайте коды из СМС, CVC-коды и пароли; проверяйте звонки от банков и госорганов – перезванивайте по официальным номерам; установите антивирус и своевременно обновляйте программное обеспечение; проверяйте свою кредитную историю - это поможет выявить мошеннические займы.</w:t>
      </w:r>
    </w:p>
    <w:p w14:paraId="9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вы стали жертвой мошенников, то немедленно заблокируйте карту через приложение банка, подайте заявление в полицию и Банк России (через онлайн-приемную).</w:t>
      </w:r>
    </w:p>
    <w:p w14:paraId="A0000000">
      <w:pPr>
        <w:numPr>
          <w:numId w:val="1"/>
        </w:numPr>
        <w:spacing w:after="0" w:line="240" w:lineRule="auto"/>
        <w:ind w:firstLine="283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такое «</w:t>
      </w:r>
      <w:r>
        <w:rPr>
          <w:rFonts w:ascii="Times New Roman" w:hAnsi="Times New Roman"/>
          <w:b w:val="1"/>
          <w:color w:val="000000"/>
          <w:sz w:val="28"/>
        </w:rPr>
        <w:t>квишинг</w:t>
      </w:r>
      <w:r>
        <w:rPr>
          <w:rFonts w:ascii="Times New Roman" w:hAnsi="Times New Roman"/>
          <w:b w:val="1"/>
          <w:color w:val="000000"/>
          <w:sz w:val="28"/>
        </w:rPr>
        <w:t>» и как обезопасить себя от мошенников?</w:t>
      </w:r>
    </w:p>
    <w:p w14:paraId="A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Квишинг</w:t>
      </w:r>
      <w:r>
        <w:rPr>
          <w:rFonts w:ascii="Times New Roman" w:hAnsi="Times New Roman"/>
          <w:color w:val="000000"/>
          <w:sz w:val="28"/>
        </w:rPr>
        <w:t xml:space="preserve">- это специфическая форма </w:t>
      </w:r>
      <w:r>
        <w:rPr>
          <w:rFonts w:ascii="Times New Roman" w:hAnsi="Times New Roman"/>
          <w:color w:val="000000"/>
          <w:sz w:val="28"/>
        </w:rPr>
        <w:t>фишинга</w:t>
      </w:r>
      <w:r>
        <w:rPr>
          <w:rFonts w:ascii="Times New Roman" w:hAnsi="Times New Roman"/>
          <w:color w:val="000000"/>
          <w:sz w:val="28"/>
        </w:rPr>
        <w:t>, при которой мошенники используют QR – коды для обмана граждан и кражи их конфиденциальных данных. Его цель – получить доступ к финансовым ресурсам или конфиденциальной информации жертвы для дальнейшего несанкционированного использования.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такой код может быть интегрирована любая информация: ссылка на мошеннический сайт или вредоносное программное обеспечение. Код может рассылаться по электронной почте, может содержаться в объявлениях на подъездах, на поддельных квитанциях.</w:t>
      </w: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Как защитить себя от мошенников?</w:t>
      </w:r>
    </w:p>
    <w:p w14:paraId="A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открывать электронные письма с незнакомых адресов;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предоставлять личные данные по непроверенным ссылкам;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переходить по подозрительным веб-ссылкам;</w:t>
      </w:r>
    </w:p>
    <w:p w14:paraId="A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скачивать файлы из ненадежных источников;</w:t>
      </w:r>
    </w:p>
    <w:p w14:paraId="A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использовать надежные антивирусные программы для защиты вашей информации:</w:t>
      </w:r>
    </w:p>
    <w:p w14:paraId="A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расплачиваться через QR-коды в ненадежных магазинах и переписках.</w:t>
      </w:r>
    </w:p>
    <w:p w14:paraId="AA000000">
      <w:pPr>
        <w:pStyle w:val="Style_2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2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header="709" w:left="1276" w:right="567" w:top="87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3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  <w:vAlign w:val="top"/>
        </w:tcPr>
        <w:p w14:paraId="03000000">
          <w:pPr>
            <w:pStyle w:val="Style_2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pStyle w:val="Style_2"/>
            <w:spacing w:after="60" w:line="240" w:lineRule="auto"/>
            <w:ind/>
            <w:jc w:val="lef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   </w:t>
          </w:r>
          <w:r>
            <w:rPr>
              <w:rFonts w:ascii="Times New Roman" w:hAnsi="Times New Roman"/>
              <w:sz w:val="16"/>
            </w:rPr>
            <w:t xml:space="preserve">  </w:t>
          </w:r>
          <w:r>
            <w:rPr>
              <w:rFonts w:ascii="Times New Roman" w:hAnsi="Times New Roman"/>
              <w:sz w:val="16"/>
            </w:rPr>
            <w:t xml:space="preserve"> </w:t>
          </w:r>
          <w:r>
            <w:rPr>
              <w:rFonts w:ascii="Times New Roman" w:hAnsi="Times New Roman"/>
              <w:sz w:val="16"/>
            </w:rPr>
            <w:t xml:space="preserve"> </w:t>
          </w: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4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  <w:instrText>PAGE \* Arabic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2"/>
    <w:next w:val="Style_2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4" w:type="paragraph">
    <w:name w:val="footer"/>
    <w:basedOn w:val="Style_2"/>
    <w:next w:val="Style_2"/>
    <w:link w:val="Style_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2_ch"/>
    <w:link w:val="Style_4"/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9" w:type="paragraph">
    <w:name w:val="Balloon Text"/>
    <w:basedOn w:val="Style_2"/>
    <w:next w:val="Style_2"/>
    <w:link w:val="Style_19_ch"/>
    <w:pPr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2025-04-30T09:09:39Z</dcterms:modified>
</cp:coreProperties>
</file>