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1"/>
        <w:tblpPr w:horzAnchor="margin" w:tblpX="6986" w:tblpY="511" w:vertAnchor="page"/>
        <w:tblW w:type="auto" w:w="0"/>
        <w:tblLayout w:type="fixed"/>
        <w:tblCellMar>
          <w:left w:type="dxa" w:w="0"/>
          <w:right w:type="dxa" w:w="0"/>
        </w:tblCellMar>
      </w:tblPr>
      <w:tblGrid>
        <w:gridCol w:w="1581"/>
      </w:tblGrid>
      <w:tr>
        <w:trPr>
          <w:trHeight w:hRule="atLeast" w:val="454"/>
        </w:trPr>
        <w:tc>
          <w:tcPr>
            <w:tcW w:type="dxa" w:w="1581"/>
            <w:tcMar>
              <w:top w:type="dxa" w:w="0"/>
              <w:left w:type="dxa" w:w="0"/>
              <w:bottom w:type="dxa" w:w="0"/>
              <w:right w:type="dxa" w:w="0"/>
            </w:tcMar>
            <w:vAlign w:val="top"/>
          </w:tcPr>
          <w:p w14:paraId="06000000">
            <w:pPr>
              <w:pStyle w:val="Style_2"/>
              <w:spacing w:after="0" w:line="240" w:lineRule="auto"/>
              <w:ind/>
              <w:rPr>
                <w:rFonts w:ascii="EanGnivc" w:hAnsi="EanGnivc"/>
                <w:sz w:val="64"/>
              </w:rPr>
            </w:pPr>
          </w:p>
        </w:tc>
      </w:tr>
    </w:tbl>
    <w:p w14:paraId="07000000">
      <w:pPr>
        <w:pStyle w:val="Style_2"/>
        <w:spacing w:after="0"/>
        <w:ind/>
      </w:pPr>
    </w:p>
    <w:p w14:paraId="08000000">
      <w:pPr>
        <w:pStyle w:val="Style_2"/>
        <w:spacing w:after="0"/>
        <w:ind/>
        <w:rPr>
          <w:sz w:val="2"/>
        </w:rPr>
      </w:pPr>
    </w:p>
    <w:p w14:paraId="09000000">
      <w:pPr>
        <w:pStyle w:val="Style_2"/>
        <w:spacing w:after="0"/>
        <w:ind/>
        <w:rPr>
          <w:sz w:val="2"/>
        </w:rPr>
      </w:pPr>
    </w:p>
    <w:p w14:paraId="0A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1. С 1 апреля 2025 года социальные пенсии проиндексируют на 14,75%.</w:t>
      </w:r>
    </w:p>
    <w:p w14:paraId="0B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Согласно ст. 5 Федерального закона от 15.12.2001 №166-ФЗ «О государственном пенсионном обеспечении в Российской Федерации» социальная пенсия является </w:t>
      </w:r>
      <w:r>
        <w:rPr>
          <w:rFonts w:ascii="Times New Roman" w:hAnsi="Times New Roman"/>
          <w:color w:val="333333"/>
          <w:sz w:val="28"/>
        </w:rPr>
        <w:t>одним из видов пенсий по государственному пенсионному обеспечению. Социальная пенсия (по старости, по инвалидности, по случаю потери кормильца, детям, оба родителя которых неизвестны) назначается нетрудоспособным гражданам.</w:t>
      </w:r>
    </w:p>
    <w:p w14:paraId="0C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Социальные пенсии индексируются ежегодно с 1 апреля с учетом темпов роста прожиточного минимума пенсионера в Российской Федерации за прошедший год.</w:t>
      </w:r>
    </w:p>
    <w:p w14:paraId="0D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Постановлением Правительства РФ от 07.03.2025 № 287 с 01.04.2025 утвержден коэффициент индексации социальных пенсий в размере 1,1475, что составит 14,75%.</w:t>
      </w:r>
    </w:p>
    <w:p w14:paraId="0E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2. С 1 апреля 2025 года введен лимит на количество сим-карт для абонентов.</w:t>
      </w:r>
    </w:p>
    <w:p w14:paraId="0F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Федеральным законом от 08.08.2024 № 303-ФЗ внесены изменения в Федеральный закон от 07.07.2003 № 126-ФЗ «О связи». Так, физическому лицу может быть выделено операторами подвижной радиотелефонной связи и предоставлено в пользование абонентами – юридическими лицами либо индивидуальными предпринимателями в совокупности не более 20 абонентских номеров.</w:t>
      </w:r>
    </w:p>
    <w:p w14:paraId="10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Законом установлены особенности оказания услуг подвижной радиотелефонной связи иностранным гражданам или лицам без гражданства, предусматривающие возможность предоставления в пользования не более 10 абонентских номеров.</w:t>
      </w:r>
    </w:p>
    <w:p w14:paraId="11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Также на операторов связи возлагается обязанность проверять достоверность сведений об абоненте и о корпоративных пользователях до начала оказания им услуг.</w:t>
      </w:r>
    </w:p>
    <w:p w14:paraId="12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Проверить количество заключенных договоров об оказании услуг связи можно с использованием единого портала государственных и муниципальных услуг.</w:t>
      </w:r>
    </w:p>
    <w:p w14:paraId="13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3. Новые требования к организации банками процесса сбора и размещения биометрических данных физического лица.</w:t>
      </w:r>
    </w:p>
    <w:p w14:paraId="14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С  01.04.2025  в соответствии с Указанием Банка России от 11.07.2024 № 6801-У банк, который применяет Единую биометрическую систему посредством своего официального сайта, а также мобильного приложения, не вправе требовать представления иных сведений и (или) документов для установления и подтверждения достоверности информации, полученной с использованием Единой биометрической системы 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5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Указанное требование распространяется на клиентов – физических лиц, а также на представителя клиента – юридического лица, имеющего право без доверенности действовать от имени юридического лица и являющегося физическим лицом.</w:t>
      </w:r>
    </w:p>
    <w:p w14:paraId="16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4. Внесены изменения в Семейный кодекс Российской Федерации, касающиеся условий заключения брака.</w:t>
      </w:r>
    </w:p>
    <w:p w14:paraId="17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В соответствии с п. 2 ст. 156 Семейного кодекса РФ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обстоятельств, препятствующих заключению брака.</w:t>
      </w:r>
    </w:p>
    <w:p w14:paraId="18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Не допускается заключение брака между:</w:t>
      </w:r>
    </w:p>
    <w:p w14:paraId="19000000">
      <w:pPr>
        <w:numPr>
          <w:numId w:val="1"/>
        </w:numPr>
        <w:spacing w:after="0" w:line="240" w:lineRule="auto"/>
        <w:ind w:firstLine="0" w:left="0"/>
        <w:jc w:val="both"/>
        <w:rPr>
          <w:rFonts w:ascii="Times New Roman" w:hAnsi="Times New Roman"/>
          <w:color w:val="333333"/>
          <w:sz w:val="28"/>
        </w:rPr>
      </w:pPr>
      <w:r>
        <w:rPr>
          <w:rFonts w:ascii="Times New Roman" w:hAnsi="Times New Roman"/>
          <w:color w:val="333333"/>
          <w:sz w:val="28"/>
        </w:rPr>
        <w:t>лицами, из которых хотя бы одно лицо уже состоит в другом зарегистрированном браке;</w:t>
      </w:r>
    </w:p>
    <w:p w14:paraId="1A000000">
      <w:pPr>
        <w:numPr>
          <w:numId w:val="1"/>
        </w:numPr>
        <w:spacing w:after="0" w:line="240" w:lineRule="auto"/>
        <w:ind w:firstLine="0" w:left="0"/>
        <w:jc w:val="both"/>
        <w:rPr>
          <w:rFonts w:ascii="Times New Roman" w:hAnsi="Times New Roman"/>
          <w:color w:val="333333"/>
          <w:sz w:val="28"/>
        </w:rPr>
      </w:pPr>
      <w:r>
        <w:rPr>
          <w:rFonts w:ascii="Times New Roman" w:hAnsi="Times New Roman"/>
          <w:color w:val="333333"/>
          <w:sz w:val="28"/>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Times New Roman" w:hAnsi="Times New Roman"/>
          <w:color w:val="333333"/>
          <w:sz w:val="28"/>
        </w:rPr>
        <w:t>неполнородными</w:t>
      </w:r>
      <w:r>
        <w:rPr>
          <w:rFonts w:ascii="Times New Roman" w:hAnsi="Times New Roman"/>
          <w:color w:val="333333"/>
          <w:sz w:val="28"/>
        </w:rPr>
        <w:t xml:space="preserve"> (имеющими общих отца или мать) братьями и сестрами);</w:t>
      </w:r>
    </w:p>
    <w:p w14:paraId="1B000000">
      <w:pPr>
        <w:numPr>
          <w:numId w:val="1"/>
        </w:numPr>
        <w:spacing w:after="0" w:line="240" w:lineRule="auto"/>
        <w:ind w:firstLine="0" w:left="0"/>
        <w:jc w:val="both"/>
        <w:rPr>
          <w:rFonts w:ascii="Times New Roman" w:hAnsi="Times New Roman"/>
          <w:color w:val="333333"/>
          <w:sz w:val="28"/>
        </w:rPr>
      </w:pPr>
      <w:r>
        <w:rPr>
          <w:rFonts w:ascii="Times New Roman" w:hAnsi="Times New Roman"/>
          <w:color w:val="333333"/>
          <w:sz w:val="28"/>
        </w:rPr>
        <w:t>усыновителями и усыновленными;</w:t>
      </w:r>
    </w:p>
    <w:p w14:paraId="1C000000">
      <w:pPr>
        <w:numPr>
          <w:numId w:val="1"/>
        </w:numPr>
        <w:spacing w:after="0" w:line="240" w:lineRule="auto"/>
        <w:ind w:firstLine="0" w:left="0"/>
        <w:jc w:val="both"/>
        <w:rPr>
          <w:rFonts w:ascii="Times New Roman" w:hAnsi="Times New Roman"/>
          <w:color w:val="333333"/>
          <w:sz w:val="28"/>
        </w:rPr>
      </w:pPr>
      <w:r>
        <w:rPr>
          <w:rFonts w:ascii="Times New Roman" w:hAnsi="Times New Roman"/>
          <w:color w:val="333333"/>
          <w:sz w:val="28"/>
        </w:rPr>
        <w:t>лицами, из которых хотя бы одно лицо признано судом недееспособным вследствие психического расстройства (ст.14 Семейного кодекса РФ).</w:t>
      </w:r>
    </w:p>
    <w:p w14:paraId="1D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С 05.02.2025 вступили в силу изменения, предусматривающие новые обстоятельства, препятствующие заключению брака. Так, не допускается заключение брака между лицами, хотя бы одно из которых является иностранным гражданином или лицом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14:paraId="1E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Согласно п. 1 ст. 31.2. Федерального закона от 25.07.2002 № 115-ФЗ «О правовом положении иностранных граждан в Российской Федерации» в реестр контролируемых лиц вносятся сведения, в том числе персональные данные, об иностранных гражданах, находящихся в Российской Федерации и не имеющих законных оснований для пребывания (проживания) в Российской Федерации.</w:t>
      </w:r>
    </w:p>
    <w:p w14:paraId="1F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5. Информирование наследников о неисполненных обязательствах наследодателя возложено на нотариусов.</w:t>
      </w:r>
    </w:p>
    <w:p w14:paraId="20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Федеральным законом от 23.11.2024 № 407-ФЗ Основы законодательства Российской Федерации о нотариате дополнены статьей 61.1 - «Извещение наследников о долгах наследодателя».</w:t>
      </w:r>
    </w:p>
    <w:p w14:paraId="21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В соответствии с указанной статьей нотариус, ведущий наследственное дело, не позднее трех рабочих дней, следующих за днем открытия наследственного дела, обязан направить запрос в Центральный каталог кредитных историй для получения информации о бюро кредитных историй, в котором хранится кредитная история наследодателя, либо об отсутствии кредитной истории наследодателя.</w:t>
      </w:r>
    </w:p>
    <w:p w14:paraId="22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Информация из Центрального каталога кредитных историй и бюро кредитных историй предоставляется нотариусу через единую информационную систему нотариата в электронной форме на безвозмездной основе не позднее трех рабочих дней со дня получения соответствующего запроса.</w:t>
      </w:r>
    </w:p>
    <w:p w14:paraId="23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Нотариус, не позднее трех рабочих дней, следующих за днем получения информации из Центрального каталога кредитных историй, извещает наследников, подавших ему заявления о принятии наследства:</w:t>
      </w:r>
    </w:p>
    <w:p w14:paraId="24000000">
      <w:pPr>
        <w:numPr>
          <w:numId w:val="2"/>
        </w:numPr>
        <w:spacing w:after="0" w:line="240" w:lineRule="auto"/>
        <w:ind/>
        <w:jc w:val="both"/>
        <w:rPr>
          <w:rFonts w:ascii="Times New Roman" w:hAnsi="Times New Roman"/>
          <w:color w:val="333333"/>
          <w:sz w:val="28"/>
        </w:rPr>
      </w:pPr>
      <w:r>
        <w:rPr>
          <w:rFonts w:ascii="Times New Roman" w:hAnsi="Times New Roman"/>
          <w:color w:val="333333"/>
          <w:sz w:val="28"/>
        </w:rPr>
        <w:t>об отсутствии кредитной истории наследодателя;</w:t>
      </w:r>
    </w:p>
    <w:p w14:paraId="25000000">
      <w:pPr>
        <w:numPr>
          <w:numId w:val="2"/>
        </w:numPr>
        <w:spacing w:after="0" w:line="240" w:lineRule="auto"/>
        <w:ind/>
        <w:jc w:val="both"/>
        <w:rPr>
          <w:rFonts w:ascii="Times New Roman" w:hAnsi="Times New Roman"/>
          <w:color w:val="333333"/>
          <w:sz w:val="28"/>
        </w:rPr>
      </w:pPr>
      <w:r>
        <w:rPr>
          <w:rFonts w:ascii="Times New Roman" w:hAnsi="Times New Roman"/>
          <w:color w:val="333333"/>
          <w:sz w:val="28"/>
        </w:rPr>
        <w:t>об отсутствии неисполненных долговых обязательств наследодателя;</w:t>
      </w:r>
    </w:p>
    <w:p w14:paraId="26000000">
      <w:pPr>
        <w:numPr>
          <w:numId w:val="2"/>
        </w:numPr>
        <w:spacing w:after="0" w:line="240" w:lineRule="auto"/>
        <w:ind/>
        <w:jc w:val="both"/>
        <w:rPr>
          <w:rFonts w:ascii="Times New Roman" w:hAnsi="Times New Roman"/>
          <w:color w:val="333333"/>
          <w:sz w:val="28"/>
        </w:rPr>
      </w:pPr>
      <w:r>
        <w:rPr>
          <w:rFonts w:ascii="Times New Roman" w:hAnsi="Times New Roman"/>
          <w:color w:val="333333"/>
          <w:sz w:val="28"/>
        </w:rPr>
        <w:t>о наличии неисполненных долговых обязательств наследодателя, об их размере;</w:t>
      </w:r>
    </w:p>
    <w:p w14:paraId="27000000">
      <w:pPr>
        <w:numPr>
          <w:numId w:val="2"/>
        </w:numPr>
        <w:spacing w:after="0" w:line="240" w:lineRule="auto"/>
        <w:ind/>
        <w:jc w:val="both"/>
        <w:rPr>
          <w:rFonts w:ascii="Times New Roman" w:hAnsi="Times New Roman"/>
          <w:color w:val="333333"/>
          <w:sz w:val="28"/>
        </w:rPr>
      </w:pPr>
      <w:r>
        <w:rPr>
          <w:rFonts w:ascii="Times New Roman" w:hAnsi="Times New Roman"/>
          <w:color w:val="333333"/>
          <w:sz w:val="28"/>
        </w:rPr>
        <w:t>о наличии неисполненных долговых обязательств наследодателя, сведения о которых получены им из иных источников.</w:t>
      </w:r>
    </w:p>
    <w:p w14:paraId="28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Нотариус извещает о полученной информации наследников в письменной форме по известному адресу места жительства или известному адресу электронной почты либо знакомит их с полученной информацией при личной явке. </w:t>
      </w:r>
      <w:r>
        <w:rPr>
          <w:rFonts w:ascii="Times New Roman" w:hAnsi="Times New Roman"/>
          <w:color w:val="333333"/>
          <w:sz w:val="28"/>
        </w:rPr>
        <w:t>Изменения вступают в силу с 24 ноября 2025 года.</w:t>
      </w:r>
    </w:p>
    <w:p w14:paraId="29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6. С 1 марта 2025 года изменился порядок использования отгулов за работу в выходной день. Поправки внесли в статью 153 Трудового кодекса Российской Федерации.</w:t>
      </w:r>
    </w:p>
    <w:p w14:paraId="2A000000">
      <w:pPr>
        <w:spacing w:after="0" w:line="240" w:lineRule="auto"/>
        <w:ind w:firstLine="709" w:left="0"/>
        <w:jc w:val="both"/>
        <w:rPr>
          <w:rFonts w:ascii="Times New Roman" w:hAnsi="Times New Roman"/>
          <w:b w:val="1"/>
          <w:color w:val="333333"/>
          <w:sz w:val="28"/>
        </w:rPr>
      </w:pPr>
      <w:r>
        <w:rPr>
          <w:rFonts w:ascii="Times New Roman" w:hAnsi="Times New Roman"/>
          <w:color w:val="333333"/>
          <w:sz w:val="28"/>
        </w:rPr>
        <w:t>В соответствии со статьей 153 Трудового кодекса РФ работникам оплачивается работа в выходной или нерабочий праздничный день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2B000000">
      <w:pPr>
        <w:spacing w:after="0" w:line="240" w:lineRule="auto"/>
        <w:ind w:firstLine="709" w:left="0"/>
        <w:jc w:val="both"/>
        <w:rPr>
          <w:rFonts w:ascii="Times New Roman" w:hAnsi="Times New Roman"/>
          <w:b w:val="1"/>
          <w:color w:val="333333"/>
          <w:sz w:val="28"/>
        </w:rPr>
      </w:pPr>
      <w:r>
        <w:rPr>
          <w:rFonts w:ascii="Times New Roman" w:hAnsi="Times New Roman"/>
          <w:color w:val="333333"/>
          <w:sz w:val="28"/>
        </w:rPr>
        <w:t>Согласно новым поправкам работник может использовать отгул за работу в выходной или праздничный день в любое время, но только в течение года со дня такой работы. Отгул можно присоединить к отпуску, предоставляемому в указанный период. Данное правило распространяется на все отгулы, которые за работу в выходной день работники выберут после 1 марта текущего года.</w:t>
      </w:r>
    </w:p>
    <w:p w14:paraId="2C000000">
      <w:pPr>
        <w:spacing w:after="0" w:line="240" w:lineRule="auto"/>
        <w:ind w:firstLine="709" w:left="0"/>
        <w:jc w:val="both"/>
        <w:rPr>
          <w:rFonts w:ascii="Times New Roman" w:hAnsi="Times New Roman"/>
          <w:b w:val="1"/>
          <w:color w:val="333333"/>
          <w:sz w:val="28"/>
        </w:rPr>
      </w:pPr>
      <w:r>
        <w:rPr>
          <w:rFonts w:ascii="Times New Roman" w:hAnsi="Times New Roman"/>
          <w:color w:val="333333"/>
          <w:sz w:val="28"/>
        </w:rPr>
        <w:t>Работодатель обязан отслеживать чтобы работник использовал отгулы в течение года. Если работник не использовал день отдыха в течение года, то он может получить соответствующую денежную компенсацию только при увольнении. В день увольнения работнику выплачивается разница между оплатой работы в выходной день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14:paraId="2D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За отказ работодателя работнику в отгуле за работу в выходной день предусмотрена административная ответственность по ч. 1 ст. 5.27 КоАП РФ, штраф для организации составит до 50 тыс. руб., для руководителя до 5 тыс. руб.</w:t>
      </w:r>
    </w:p>
    <w:p w14:paraId="2E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В случае если при увольнении не компенсировать работнику неиспользуемые отгулы, организацию оштрафуют до 50 тыс. руб., руководителя до 20 тыс. руб. (ч. 6 ст. 5.27 КоАП РФ). Кроме этого, работнику необходимо оплатить проценты за задержку выплаты в порядке, установленном ст. 236 Трудового кодекса РФ.</w:t>
      </w:r>
    </w:p>
    <w:p w14:paraId="2F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7. Установлена административная ответственность за пропаганду «</w:t>
      </w:r>
      <w:r>
        <w:rPr>
          <w:rFonts w:ascii="Times New Roman" w:hAnsi="Times New Roman"/>
          <w:b w:val="1"/>
          <w:color w:val="333333"/>
          <w:sz w:val="28"/>
        </w:rPr>
        <w:t>чайлдфри</w:t>
      </w:r>
      <w:r>
        <w:rPr>
          <w:rFonts w:ascii="Times New Roman" w:hAnsi="Times New Roman"/>
          <w:b w:val="1"/>
          <w:color w:val="333333"/>
          <w:sz w:val="28"/>
        </w:rPr>
        <w:t>».</w:t>
      </w:r>
    </w:p>
    <w:p w14:paraId="30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Федеральным законом от 23.11.2024 № 401-ФЗ внесены изменения в статью 6.21 Кодекса Российской Федерации об административных правонарушениях (далее – КоАП РФ) (Пропаганда нетрадиционных сексуальных отношений и (или) предпочтений, смены пола, отказа от деторождения).</w:t>
      </w:r>
    </w:p>
    <w:p w14:paraId="31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Наложение административного штрафа грозит за распространение информации или совершение публичных действий, направленных на формирование привлекательности отказа от деторождения либо искаженного представления о социальной равноценности рождения детей и отказа от деторождения, либо навязывание информации об отказе от деторождения, вызывающей к этому интерес.</w:t>
      </w:r>
    </w:p>
    <w:p w14:paraId="32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Административная ответственность наступит в случае отсутствия в указанных действиях признаков уголовно наказуемого деяния.</w:t>
      </w:r>
    </w:p>
    <w:p w14:paraId="33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Размер административного штрафа для граждан </w:t>
      </w:r>
      <w:r>
        <w:rPr>
          <w:rFonts w:ascii="Times New Roman" w:hAnsi="Times New Roman"/>
          <w:color w:val="333333"/>
          <w:sz w:val="28"/>
        </w:rPr>
        <w:t>составляетот</w:t>
      </w:r>
      <w:r>
        <w:rPr>
          <w:rFonts w:ascii="Times New Roman" w:hAnsi="Times New Roman"/>
          <w:color w:val="333333"/>
          <w:sz w:val="28"/>
        </w:rPr>
        <w:t xml:space="preserve"> 50 тыс. руб. до 100 тыс. руб.; для должностных лиц - от 100 тыс. руб. до 200 тыс. руб.; для юридических лиц - от 800 тыс. руб. до 1 млн. руб. В отношении юридических лиц возможно также применение административного приостановления деятельности на срок до 90 суток.</w:t>
      </w:r>
    </w:p>
    <w:p w14:paraId="34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За действия, совершенные среди несовершеннолетних, с применением СМИ или сети «Интернет» предусмотрены увеличенные размеры вышеуказанных административных наказаний; в случае же их совершения иностранным гражданином или лицом без гражданства также предусмотрено наказание в виде административного ареста с административным выдворением за пределы Российской Федерации.</w:t>
      </w:r>
    </w:p>
    <w:p w14:paraId="35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При этом в соответствии с примечанием к статье 6.21 КоАП РФ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w:t>
      </w:r>
      <w:r>
        <w:rPr>
          <w:rFonts w:ascii="Times New Roman" w:hAnsi="Times New Roman"/>
          <w:color w:val="333333"/>
          <w:sz w:val="28"/>
        </w:rPr>
        <w:t xml:space="preserve">безбрачия (целибата) и связанного с ними отказа от </w:t>
      </w:r>
      <w:r>
        <w:rPr>
          <w:rFonts w:ascii="Times New Roman" w:hAnsi="Times New Roman"/>
          <w:color w:val="333333"/>
          <w:sz w:val="28"/>
        </w:rPr>
        <w:t>деторождения,не</w:t>
      </w:r>
      <w:r>
        <w:rPr>
          <w:rFonts w:ascii="Times New Roman" w:hAnsi="Times New Roman"/>
          <w:color w:val="333333"/>
          <w:sz w:val="28"/>
        </w:rPr>
        <w:t xml:space="preserve"> являются административным правонарушением.</w:t>
      </w:r>
    </w:p>
    <w:p w14:paraId="36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 xml:space="preserve">8. Изменения в законодательстве об образовании. </w:t>
      </w:r>
    </w:p>
    <w:p w14:paraId="37000000">
      <w:pPr>
        <w:spacing w:after="0" w:line="240" w:lineRule="auto"/>
        <w:ind w:firstLine="709" w:left="0"/>
        <w:jc w:val="both"/>
        <w:rPr>
          <w:rFonts w:ascii="Times New Roman" w:hAnsi="Times New Roman"/>
          <w:b w:val="1"/>
          <w:color w:val="333333"/>
          <w:sz w:val="28"/>
        </w:rPr>
      </w:pPr>
      <w:r>
        <w:rPr>
          <w:rFonts w:ascii="Times New Roman" w:hAnsi="Times New Roman"/>
          <w:b w:val="0"/>
          <w:sz w:val="28"/>
        </w:rPr>
        <w:t>Федеральным законом РФ от 28.12.2024 № 544-ФЗ, вступающим в силу с 01.04.2025,</w:t>
      </w:r>
      <w:r>
        <w:rPr>
          <w:rFonts w:ascii="Times New Roman" w:hAnsi="Times New Roman"/>
          <w:b w:val="0"/>
          <w:sz w:val="28"/>
        </w:rPr>
        <w:t xml:space="preserve"> внесены изменения в ФЗ «Об образовании в Российской Федерации».</w:t>
      </w:r>
    </w:p>
    <w:p w14:paraId="38000000">
      <w:pPr>
        <w:spacing w:after="0" w:line="240" w:lineRule="auto"/>
        <w:ind w:firstLine="709" w:left="0"/>
        <w:jc w:val="both"/>
        <w:rPr>
          <w:rFonts w:ascii="Times New Roman" w:hAnsi="Times New Roman"/>
          <w:b w:val="0"/>
          <w:color w:val="333333"/>
          <w:sz w:val="28"/>
        </w:rPr>
      </w:pPr>
      <w:r>
        <w:rPr>
          <w:rFonts w:ascii="Times New Roman" w:hAnsi="Times New Roman"/>
          <w:b w:val="0"/>
          <w:sz w:val="28"/>
        </w:rPr>
        <w:t xml:space="preserve">Вводится обязательное тестирование на знание русского языка для детей иностранцев при их приеме в российские школы, </w:t>
      </w:r>
      <w:r>
        <w:rPr>
          <w:rFonts w:ascii="Times New Roman" w:hAnsi="Times New Roman"/>
          <w:b w:val="0"/>
          <w:sz w:val="28"/>
        </w:rPr>
        <w:t>порядок проведения которого установит Министерство просвещения.</w:t>
      </w:r>
    </w:p>
    <w:p w14:paraId="39000000">
      <w:pPr>
        <w:spacing w:after="0" w:line="240" w:lineRule="auto"/>
        <w:ind w:firstLine="709" w:left="0"/>
        <w:jc w:val="both"/>
        <w:rPr>
          <w:rFonts w:ascii="Times New Roman" w:hAnsi="Times New Roman"/>
          <w:b w:val="0"/>
          <w:color w:val="333333"/>
          <w:sz w:val="28"/>
        </w:rPr>
      </w:pPr>
      <w:r>
        <w:rPr>
          <w:rFonts w:ascii="Times New Roman" w:hAnsi="Times New Roman"/>
          <w:b w:val="0"/>
          <w:sz w:val="28"/>
        </w:rPr>
        <w:t>Отрицательный тест означает недопуск к освоению школьных программ.</w:t>
      </w:r>
    </w:p>
    <w:p w14:paraId="3A000000">
      <w:pPr>
        <w:spacing w:after="0" w:line="240" w:lineRule="auto"/>
        <w:ind w:firstLine="709" w:left="0"/>
        <w:jc w:val="both"/>
        <w:rPr>
          <w:rFonts w:ascii="Times New Roman" w:hAnsi="Times New Roman"/>
          <w:b w:val="0"/>
          <w:color w:val="333333"/>
          <w:sz w:val="28"/>
        </w:rPr>
      </w:pPr>
      <w:r>
        <w:rPr>
          <w:rFonts w:ascii="Times New Roman" w:hAnsi="Times New Roman"/>
          <w:b w:val="0"/>
          <w:sz w:val="28"/>
        </w:rPr>
        <w:t>Также при поступлении в школу необходимо будет предъявить документ, подтверждающий законность нахождения на территории Российской Федерации.</w:t>
      </w:r>
    </w:p>
    <w:p w14:paraId="3B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9. С 1 марта 2025 года Трудовым кодексом РФ предусмотрены дополнительные меры по борьбе с долгами по зарплате.</w:t>
      </w:r>
    </w:p>
    <w:p w14:paraId="3C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С 1 марта 2025 года вступила в силу статья 158.1 Трудового кодекса РФ, которой определены основные направления противодействия формированию просроченной задолженности по заработной плате:</w:t>
      </w:r>
    </w:p>
    <w:p w14:paraId="3D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 профилактические меры по недопущению формирования задолженности по заработной плате, включая выявление и устранение причин и условий, способствующих несвоевременной оплате труда, мониторинг просроченной задолженности;</w:t>
      </w:r>
    </w:p>
    <w:p w14:paraId="3E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 привлечение работодателей к ответственности за нарушение сроков выплаты заработной платы;</w:t>
      </w:r>
    </w:p>
    <w:p w14:paraId="3F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 содействие реализации мероприятий по погашению просроченной задолженности по заработной плате;</w:t>
      </w:r>
    </w:p>
    <w:p w14:paraId="40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 проведение разъяснительной работы с участием сторон социального партнерства по вопросам обеспечения трудовых прав работников.</w:t>
      </w:r>
    </w:p>
    <w:p w14:paraId="41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Для координации этой деятельности высшими исполнительными органами субъектов Российской Федерации формируются соответствующие межведомственные комиссии, в состав которых включаются представители профильных исполнительных органов, региональных трехсторонних комиссий по регулированию социально-трудовых отношений, заинтересованных территориальных органов федеральных органов исполнительной власти, государственных внебюджетных фондов, региональных объединений работодателей и территориальных объединений организаций профессиональных союзов.</w:t>
      </w:r>
    </w:p>
    <w:p w14:paraId="42000000">
      <w:pPr>
        <w:spacing w:after="0" w:before="0" w:line="240" w:lineRule="auto"/>
        <w:ind w:firstLine="709" w:left="0"/>
        <w:jc w:val="both"/>
        <w:rPr>
          <w:rFonts w:ascii="Times New Roman" w:hAnsi="Times New Roman"/>
          <w:b w:val="1"/>
          <w:sz w:val="28"/>
        </w:rPr>
      </w:pPr>
      <w:r>
        <w:rPr>
          <w:rFonts w:ascii="Times New Roman" w:hAnsi="Times New Roman"/>
          <w:b w:val="1"/>
          <w:sz w:val="28"/>
        </w:rPr>
        <w:t>10. Ут</w:t>
      </w:r>
      <w:r>
        <w:rPr>
          <w:rFonts w:ascii="Times New Roman" w:hAnsi="Times New Roman"/>
          <w:b w:val="1"/>
          <w:sz w:val="28"/>
        </w:rPr>
        <w:t>верждена новая Стратегия противодействия экстремизму.</w:t>
      </w:r>
    </w:p>
    <w:p w14:paraId="43000000">
      <w:pPr>
        <w:spacing w:after="0" w:before="0" w:line="240" w:lineRule="auto"/>
        <w:ind w:firstLine="709" w:left="0"/>
        <w:jc w:val="both"/>
        <w:rPr>
          <w:rFonts w:ascii="Times New Roman" w:hAnsi="Times New Roman"/>
          <w:b w:val="0"/>
          <w:sz w:val="28"/>
        </w:rPr>
      </w:pPr>
      <w:r>
        <w:rPr>
          <w:rFonts w:ascii="Times New Roman" w:hAnsi="Times New Roman"/>
          <w:b w:val="0"/>
          <w:sz w:val="28"/>
        </w:rPr>
        <w:t xml:space="preserve">Указом Президента РФ от 28.12.2024 № 1124, вступившим в силу в тот же день, </w:t>
      </w:r>
      <w:r>
        <w:rPr>
          <w:rFonts w:ascii="Times New Roman" w:hAnsi="Times New Roman"/>
          <w:b w:val="0"/>
          <w:sz w:val="28"/>
        </w:rPr>
        <w:t>ут</w:t>
      </w:r>
      <w:r>
        <w:rPr>
          <w:rFonts w:ascii="Times New Roman" w:hAnsi="Times New Roman"/>
          <w:b w:val="0"/>
          <w:sz w:val="28"/>
        </w:rPr>
        <w:t>верждена новая Стратегия противодействия экстремизму в Российской Федерации</w:t>
      </w:r>
      <w:r>
        <w:rPr>
          <w:rFonts w:ascii="Times New Roman" w:hAnsi="Times New Roman"/>
          <w:b w:val="0"/>
          <w:sz w:val="28"/>
        </w:rPr>
        <w:t xml:space="preserve">, </w:t>
      </w:r>
      <w:r>
        <w:rPr>
          <w:rFonts w:ascii="Times New Roman" w:hAnsi="Times New Roman"/>
          <w:b w:val="0"/>
          <w:sz w:val="28"/>
        </w:rPr>
        <w:t>определяющая</w:t>
      </w:r>
      <w:r>
        <w:rPr>
          <w:rFonts w:ascii="Times New Roman" w:hAnsi="Times New Roman"/>
          <w:b w:val="0"/>
          <w:sz w:val="28"/>
        </w:rPr>
        <w:t xml:space="preserve"> </w:t>
      </w:r>
      <w:r>
        <w:rPr>
          <w:rFonts w:ascii="Times New Roman" w:hAnsi="Times New Roman"/>
          <w:b w:val="0"/>
          <w:sz w:val="28"/>
        </w:rPr>
        <w:t>основные источники угроз экстремизма, направления государственной политики в данной сфере, порядок взаимодействия государственных органов, органов МСУ и организаций при ее реализации.</w:t>
      </w:r>
    </w:p>
    <w:p w14:paraId="44000000">
      <w:pPr>
        <w:spacing w:after="0" w:before="0" w:line="240" w:lineRule="auto"/>
        <w:ind w:firstLine="709" w:left="0"/>
        <w:jc w:val="both"/>
        <w:rPr>
          <w:rFonts w:ascii="Times New Roman" w:hAnsi="Times New Roman"/>
          <w:b w:val="0"/>
          <w:sz w:val="28"/>
        </w:rPr>
      </w:pPr>
      <w:r>
        <w:rPr>
          <w:rFonts w:ascii="Times New Roman" w:hAnsi="Times New Roman"/>
          <w:b w:val="0"/>
          <w:sz w:val="28"/>
        </w:rPr>
        <w:t>Стратегия противодействия экстремизму в Российской Федерации до 2025 года, утвержденная Указом Президента РФ от 29.05.2020 № 344 признана утратившей силу.</w:t>
      </w:r>
    </w:p>
    <w:p w14:paraId="45000000">
      <w:pPr>
        <w:spacing w:after="0" w:line="240" w:lineRule="auto"/>
        <w:ind w:firstLine="709" w:left="0"/>
        <w:jc w:val="both"/>
        <w:rPr>
          <w:rFonts w:ascii="Times New Roman" w:hAnsi="Times New Roman"/>
          <w:b w:val="1"/>
          <w:sz w:val="28"/>
        </w:rPr>
      </w:pPr>
      <w:r>
        <w:rPr>
          <w:rFonts w:ascii="Times New Roman" w:hAnsi="Times New Roman"/>
          <w:b w:val="1"/>
          <w:sz w:val="28"/>
        </w:rPr>
        <w:t>11. В</w:t>
      </w:r>
      <w:r>
        <w:rPr>
          <w:rFonts w:ascii="Times New Roman" w:hAnsi="Times New Roman"/>
          <w:b w:val="1"/>
          <w:sz w:val="28"/>
        </w:rPr>
        <w:t xml:space="preserve"> связи с 80-й годовщиной Победы в Великой Отечественной войне</w:t>
      </w:r>
      <w:r>
        <w:rPr>
          <w:rFonts w:ascii="Times New Roman" w:hAnsi="Times New Roman"/>
          <w:b w:val="1"/>
          <w:sz w:val="28"/>
        </w:rPr>
        <w:t xml:space="preserve"> 1941 - 1945 годов </w:t>
      </w:r>
      <w:r>
        <w:rPr>
          <w:rFonts w:ascii="Times New Roman" w:hAnsi="Times New Roman"/>
          <w:b w:val="1"/>
          <w:sz w:val="28"/>
        </w:rPr>
        <w:t>определены размеры</w:t>
      </w:r>
      <w:r>
        <w:rPr>
          <w:rFonts w:ascii="Times New Roman" w:hAnsi="Times New Roman"/>
          <w:b w:val="1"/>
          <w:sz w:val="28"/>
        </w:rPr>
        <w:t xml:space="preserve"> </w:t>
      </w:r>
      <w:r>
        <w:rPr>
          <w:rFonts w:ascii="Times New Roman" w:hAnsi="Times New Roman"/>
          <w:b w:val="1"/>
          <w:sz w:val="28"/>
        </w:rPr>
        <w:t>единовременных выплат.</w:t>
      </w:r>
    </w:p>
    <w:p w14:paraId="46000000">
      <w:pPr>
        <w:spacing w:after="0" w:line="240" w:lineRule="auto"/>
        <w:ind w:firstLine="709" w:left="0"/>
        <w:jc w:val="both"/>
        <w:rPr>
          <w:rFonts w:ascii="Times New Roman" w:hAnsi="Times New Roman"/>
          <w:b w:val="0"/>
          <w:sz w:val="28"/>
        </w:rPr>
      </w:pPr>
      <w:r>
        <w:rPr>
          <w:rFonts w:ascii="Times New Roman" w:hAnsi="Times New Roman"/>
          <w:b w:val="0"/>
          <w:sz w:val="28"/>
        </w:rPr>
        <w:t>Указом Президента РФ</w:t>
      </w:r>
      <w:r>
        <w:rPr>
          <w:rFonts w:ascii="Times New Roman" w:hAnsi="Times New Roman"/>
          <w:b w:val="0"/>
          <w:sz w:val="28"/>
        </w:rPr>
        <w:t xml:space="preserve"> от 15.01.2025 № 15, вступившим в силу в тот же день,  </w:t>
      </w:r>
      <w:r>
        <w:rPr>
          <w:rFonts w:ascii="Times New Roman" w:hAnsi="Times New Roman"/>
          <w:b w:val="0"/>
          <w:sz w:val="28"/>
        </w:rPr>
        <w:t>в связи с 80-й годовщиной Победы в Великой Отечественной войне</w:t>
      </w:r>
      <w:r>
        <w:rPr>
          <w:rFonts w:ascii="Times New Roman" w:hAnsi="Times New Roman"/>
          <w:b w:val="0"/>
          <w:sz w:val="28"/>
        </w:rPr>
        <w:t xml:space="preserve"> 1941 - 1945 годов </w:t>
      </w:r>
      <w:r>
        <w:rPr>
          <w:rFonts w:ascii="Times New Roman" w:hAnsi="Times New Roman"/>
          <w:b w:val="0"/>
          <w:sz w:val="28"/>
        </w:rPr>
        <w:t>определены размеры</w:t>
      </w:r>
      <w:r>
        <w:rPr>
          <w:rFonts w:ascii="Times New Roman" w:hAnsi="Times New Roman"/>
          <w:b w:val="0"/>
          <w:sz w:val="28"/>
        </w:rPr>
        <w:t xml:space="preserve"> </w:t>
      </w:r>
      <w:r>
        <w:rPr>
          <w:rFonts w:ascii="Times New Roman" w:hAnsi="Times New Roman"/>
          <w:b w:val="0"/>
          <w:sz w:val="28"/>
        </w:rPr>
        <w:t xml:space="preserve">единовременных выплат </w:t>
      </w:r>
      <w:r>
        <w:rPr>
          <w:rFonts w:ascii="Times New Roman" w:hAnsi="Times New Roman"/>
          <w:b w:val="0"/>
          <w:sz w:val="28"/>
        </w:rPr>
        <w:t>в период апреля-мая 2025 года</w:t>
      </w:r>
      <w:r>
        <w:rPr>
          <w:rFonts w:ascii="Times New Roman" w:hAnsi="Times New Roman"/>
          <w:b w:val="0"/>
          <w:sz w:val="28"/>
        </w:rPr>
        <w:t xml:space="preserve"> </w:t>
      </w:r>
      <w:r>
        <w:rPr>
          <w:rFonts w:ascii="Times New Roman" w:hAnsi="Times New Roman"/>
          <w:b w:val="0"/>
          <w:sz w:val="28"/>
        </w:rPr>
        <w:t xml:space="preserve"> следующим категориям граждан РФ, постоянно проживающих на территории России, в Латвийской, Литовской и Эстонской Республиках, на территориях Абхазии, Южной Осетии и Приднестровья: </w:t>
      </w:r>
    </w:p>
    <w:p w14:paraId="47000000">
      <w:pPr>
        <w:spacing w:after="0" w:line="240" w:lineRule="auto"/>
        <w:ind w:firstLine="709" w:left="0"/>
        <w:jc w:val="both"/>
        <w:rPr>
          <w:rFonts w:ascii="Times New Roman" w:hAnsi="Times New Roman"/>
          <w:b w:val="0"/>
          <w:sz w:val="28"/>
        </w:rPr>
      </w:pPr>
      <w:r>
        <w:rPr>
          <w:rFonts w:ascii="Times New Roman" w:hAnsi="Times New Roman"/>
          <w:b w:val="0"/>
          <w:sz w:val="28"/>
        </w:rPr>
        <w:t xml:space="preserve">а) инвалидам </w:t>
      </w:r>
      <w:r>
        <w:rPr>
          <w:rFonts w:ascii="Times New Roman" w:hAnsi="Times New Roman"/>
          <w:b w:val="0"/>
          <w:sz w:val="28"/>
        </w:rPr>
        <w:t>ВОВ</w:t>
      </w:r>
      <w:r>
        <w:rPr>
          <w:rFonts w:ascii="Times New Roman" w:hAnsi="Times New Roman"/>
          <w:b w:val="0"/>
          <w:sz w:val="28"/>
        </w:rPr>
        <w:t xml:space="preserve">, ветеранам </w:t>
      </w:r>
      <w:r>
        <w:rPr>
          <w:rFonts w:ascii="Times New Roman" w:hAnsi="Times New Roman"/>
          <w:b w:val="0"/>
          <w:sz w:val="28"/>
        </w:rPr>
        <w:t>ВОВ</w:t>
      </w:r>
      <w:r>
        <w:rPr>
          <w:rFonts w:ascii="Times New Roman" w:hAnsi="Times New Roman"/>
          <w:b w:val="0"/>
          <w:sz w:val="28"/>
        </w:rPr>
        <w:t xml:space="preserve"> из числа лиц, указанных в подпунктах 1 - 3 пункта 1 статьи 2 Ф</w:t>
      </w:r>
      <w:r>
        <w:rPr>
          <w:rFonts w:ascii="Times New Roman" w:hAnsi="Times New Roman"/>
          <w:b w:val="0"/>
          <w:sz w:val="28"/>
        </w:rPr>
        <w:t>З</w:t>
      </w:r>
      <w:r>
        <w:rPr>
          <w:rFonts w:ascii="Times New Roman" w:hAnsi="Times New Roman"/>
          <w:b w:val="0"/>
          <w:sz w:val="28"/>
        </w:rPr>
        <w:t xml:space="preserve"> «О ветеранах»,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вдовам (вдовцам) военнослужащих, погибших в период войны с Финляндией, В</w:t>
      </w:r>
      <w:r>
        <w:rPr>
          <w:rFonts w:ascii="Times New Roman" w:hAnsi="Times New Roman"/>
          <w:b w:val="0"/>
          <w:sz w:val="28"/>
        </w:rPr>
        <w:t>ОВ</w:t>
      </w:r>
      <w:r>
        <w:rPr>
          <w:rFonts w:ascii="Times New Roman" w:hAnsi="Times New Roman"/>
          <w:b w:val="0"/>
          <w:sz w:val="28"/>
        </w:rPr>
        <w:t xml:space="preserve">, войны с Японией, вдовам (вдовцам) умерших инвалидов </w:t>
      </w:r>
      <w:r>
        <w:rPr>
          <w:rFonts w:ascii="Times New Roman" w:hAnsi="Times New Roman"/>
          <w:b w:val="0"/>
          <w:sz w:val="28"/>
        </w:rPr>
        <w:t>ВОВ</w:t>
      </w:r>
      <w:r>
        <w:rPr>
          <w:rFonts w:ascii="Times New Roman" w:hAnsi="Times New Roman"/>
          <w:b w:val="0"/>
          <w:sz w:val="28"/>
        </w:rPr>
        <w:t xml:space="preserve"> и участников В</w:t>
      </w:r>
      <w:r>
        <w:rPr>
          <w:rFonts w:ascii="Times New Roman" w:hAnsi="Times New Roman"/>
          <w:b w:val="0"/>
          <w:sz w:val="28"/>
        </w:rPr>
        <w:t>ОВ</w:t>
      </w:r>
      <w:r>
        <w:rPr>
          <w:rFonts w:ascii="Times New Roman" w:hAnsi="Times New Roman"/>
          <w:b w:val="0"/>
          <w:sz w:val="28"/>
        </w:rPr>
        <w:t xml:space="preserve"> - </w:t>
      </w:r>
      <w:r>
        <w:rPr>
          <w:rFonts w:ascii="Times New Roman" w:hAnsi="Times New Roman"/>
          <w:b w:val="0"/>
          <w:sz w:val="28"/>
        </w:rPr>
        <w:t>в размере 80 000 рублей</w:t>
      </w:r>
      <w:r>
        <w:rPr>
          <w:rFonts w:ascii="Times New Roman" w:hAnsi="Times New Roman"/>
          <w:b w:val="0"/>
          <w:sz w:val="28"/>
        </w:rPr>
        <w:t xml:space="preserve">; </w:t>
      </w:r>
    </w:p>
    <w:p w14:paraId="48000000">
      <w:pPr>
        <w:spacing w:after="0" w:line="240" w:lineRule="auto"/>
        <w:ind w:firstLine="709" w:left="0"/>
        <w:jc w:val="both"/>
        <w:rPr>
          <w:rFonts w:ascii="Times New Roman" w:hAnsi="Times New Roman"/>
          <w:b w:val="0"/>
          <w:sz w:val="28"/>
        </w:rPr>
      </w:pPr>
      <w:r>
        <w:rPr>
          <w:rFonts w:ascii="Times New Roman" w:hAnsi="Times New Roman"/>
          <w:b w:val="0"/>
          <w:sz w:val="28"/>
        </w:rPr>
        <w:t>б) ветеранам В</w:t>
      </w:r>
      <w:r>
        <w:rPr>
          <w:rFonts w:ascii="Times New Roman" w:hAnsi="Times New Roman"/>
          <w:b w:val="0"/>
          <w:sz w:val="28"/>
        </w:rPr>
        <w:t>ОВ</w:t>
      </w:r>
      <w:r>
        <w:rPr>
          <w:rFonts w:ascii="Times New Roman" w:hAnsi="Times New Roman"/>
          <w:b w:val="0"/>
          <w:sz w:val="28"/>
        </w:rPr>
        <w:t xml:space="preserve"> из числа лиц, указанных в подпункте 4 пункта 1 статьи 2 Ф</w:t>
      </w:r>
      <w:r>
        <w:rPr>
          <w:rFonts w:ascii="Times New Roman" w:hAnsi="Times New Roman"/>
          <w:b w:val="0"/>
          <w:sz w:val="28"/>
        </w:rPr>
        <w:t>З «</w:t>
      </w:r>
      <w:r>
        <w:rPr>
          <w:rFonts w:ascii="Times New Roman" w:hAnsi="Times New Roman"/>
          <w:b w:val="0"/>
          <w:sz w:val="28"/>
        </w:rPr>
        <w:t xml:space="preserve">О ветеранах», бывшим совершеннолетним узникам нацистских концлагерей, тюрем и гетто - </w:t>
      </w:r>
      <w:r>
        <w:rPr>
          <w:rFonts w:ascii="Times New Roman" w:hAnsi="Times New Roman"/>
          <w:b w:val="0"/>
          <w:sz w:val="28"/>
        </w:rPr>
        <w:t>в размере 55 000 рублей</w:t>
      </w:r>
      <w:r>
        <w:rPr>
          <w:rFonts w:ascii="Times New Roman" w:hAnsi="Times New Roman"/>
          <w:b w:val="0"/>
          <w:sz w:val="28"/>
        </w:rPr>
        <w:t xml:space="preserve">. </w:t>
      </w:r>
    </w:p>
    <w:p w14:paraId="49000000">
      <w:pPr>
        <w:spacing w:after="0" w:line="240" w:lineRule="auto"/>
        <w:ind w:firstLine="709" w:left="0"/>
        <w:jc w:val="both"/>
        <w:rPr>
          <w:rFonts w:ascii="Times New Roman" w:hAnsi="Times New Roman"/>
          <w:color w:val="333333"/>
          <w:sz w:val="28"/>
        </w:rPr>
      </w:pPr>
      <w:r>
        <w:rPr>
          <w:rFonts w:ascii="Times New Roman" w:hAnsi="Times New Roman"/>
          <w:b w:val="0"/>
          <w:sz w:val="28"/>
        </w:rPr>
        <w:t>Порядок и условия выплаты будут определены Правительством РФ.</w:t>
      </w:r>
    </w:p>
    <w:p w14:paraId="4A000000">
      <w:pPr>
        <w:spacing w:after="0" w:line="240" w:lineRule="auto"/>
        <w:ind w:firstLine="709" w:left="0"/>
        <w:jc w:val="both"/>
        <w:rPr>
          <w:rFonts w:ascii="Times New Roman" w:hAnsi="Times New Roman"/>
          <w:b w:val="1"/>
          <w:sz w:val="28"/>
        </w:rPr>
      </w:pPr>
      <w:r>
        <w:rPr>
          <w:rFonts w:ascii="Times New Roman" w:hAnsi="Times New Roman"/>
          <w:b w:val="1"/>
          <w:sz w:val="28"/>
        </w:rPr>
        <w:t>12. Об участии родителей в дополнительных расходах на детей.</w:t>
      </w:r>
    </w:p>
    <w:p w14:paraId="4B000000">
      <w:pPr>
        <w:spacing w:after="0" w:line="240" w:lineRule="auto"/>
        <w:ind w:firstLine="709" w:left="0"/>
        <w:jc w:val="both"/>
        <w:rPr>
          <w:rFonts w:ascii="Times New Roman" w:hAnsi="Times New Roman"/>
          <w:sz w:val="28"/>
        </w:rPr>
      </w:pPr>
      <w:r>
        <w:rPr>
          <w:rFonts w:ascii="Times New Roman" w:hAnsi="Times New Roman"/>
          <w:sz w:val="28"/>
        </w:rPr>
        <w:t>Семейным кодексом РФ закреплена обязанность родителей по содержанию своих несовершеннолетних детей и совершеннолетних нетрудоспособных детей, нуждающихся в помощи. Помимо обязанности по уплате алиментов на содержание детей, родители могут быть привлечены к участию в несении дополнительных расходов на детей.</w:t>
      </w:r>
    </w:p>
    <w:p w14:paraId="4C000000">
      <w:pPr>
        <w:spacing w:after="0" w:line="240" w:lineRule="auto"/>
        <w:ind w:firstLine="709" w:left="0"/>
        <w:jc w:val="both"/>
        <w:rPr>
          <w:rFonts w:ascii="Times New Roman" w:hAnsi="Times New Roman"/>
          <w:sz w:val="28"/>
        </w:rPr>
      </w:pPr>
      <w:r>
        <w:rPr>
          <w:rFonts w:ascii="Times New Roman" w:hAnsi="Times New Roman"/>
          <w:sz w:val="28"/>
        </w:rPr>
        <w:t>Статьей 86 Семейного кодекса РФ предусмотрено участие родителей в дополнительных расходах на несовершеннолетних или нетрудоспособных совершеннолетних нуждающихся детей при наличии исключительных обстоятельств. К таковым отнесены тяжелая болезнь, увечье, необходимость оплаты постороннего ухода, отсутствие пригодного для постоянного проживания жилого помещения, а также расходы на приобретение лекарств, специальных средств для ухода, на образование и другие обстоятельства.</w:t>
      </w:r>
    </w:p>
    <w:p w14:paraId="4D000000">
      <w:pPr>
        <w:spacing w:after="0" w:line="240" w:lineRule="auto"/>
        <w:ind w:firstLine="709" w:left="0"/>
        <w:jc w:val="both"/>
        <w:rPr>
          <w:rFonts w:ascii="Times New Roman" w:hAnsi="Times New Roman"/>
          <w:sz w:val="28"/>
        </w:rPr>
      </w:pPr>
      <w:r>
        <w:rPr>
          <w:rFonts w:ascii="Times New Roman" w:hAnsi="Times New Roman"/>
          <w:sz w:val="28"/>
        </w:rPr>
        <w:t>Родители вправе заключить соглашение об участии в несении дополнительных расходов, в котором прописать порядок их несения каждым из родителей. При отсутствии такого соглашения применяется судебная процедура взыскания.</w:t>
      </w:r>
    </w:p>
    <w:p w14:paraId="4E000000">
      <w:pPr>
        <w:spacing w:after="0" w:line="240" w:lineRule="auto"/>
        <w:ind w:firstLine="709" w:left="0"/>
        <w:jc w:val="both"/>
        <w:rPr>
          <w:rFonts w:ascii="Times New Roman" w:hAnsi="Times New Roman"/>
          <w:sz w:val="28"/>
        </w:rPr>
      </w:pPr>
      <w:r>
        <w:rPr>
          <w:rFonts w:ascii="Times New Roman" w:hAnsi="Times New Roman"/>
          <w:sz w:val="28"/>
        </w:rPr>
        <w:t>Каждый из родителей может быть привлечен судом к участию в несении дополнительных расходов, вызванных этими обстоятельствами. 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14:paraId="4F000000">
      <w:pPr>
        <w:spacing w:after="0" w:line="240" w:lineRule="auto"/>
        <w:ind w:firstLine="709" w:left="0"/>
        <w:jc w:val="both"/>
        <w:rPr>
          <w:rFonts w:ascii="Times New Roman" w:hAnsi="Times New Roman"/>
          <w:sz w:val="28"/>
        </w:rPr>
      </w:pPr>
      <w:r>
        <w:rPr>
          <w:rFonts w:ascii="Times New Roman" w:hAnsi="Times New Roman"/>
          <w:sz w:val="28"/>
        </w:rPr>
        <w:t>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14:paraId="50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13. Порядок предоставления отпуска по уходу за ребенком.</w:t>
      </w:r>
    </w:p>
    <w:p w14:paraId="51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В соответствии со ст. 256 Трудового кодекса РФ отпуск по уходу за ребенком до 3 лет может быть использован полностью или по частям матерью, а также отцом ребенка, бабушкой, дедом, другим родственником или опекуном, фактически осуществляющим уход за ребенком.</w:t>
      </w:r>
    </w:p>
    <w:p w14:paraId="52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Для оформления отпуска по уходу за ребенком необходимо предоставить работодателю заявление о предоставлении такого отпуска, свидетельство о рождении ребенка, справку с места работы второго родителя (либо обоих родителей при оформлении отпуска иными лицами) о том, что ему (им) указанный отпуск не оформлялся, соответствующее пособие не выплачивается.</w:t>
      </w:r>
    </w:p>
    <w:p w14:paraId="53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Право на получение пособия по обязательному социальному страхованию сохраняется в случае, если женщина или указанные лица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14:paraId="54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На период отпуска по уходу за ребенком за работником сохраняется место работы (должность).</w:t>
      </w:r>
    </w:p>
    <w:p w14:paraId="55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По желанию работников, усыновивших ребенка (детей), им предоставляется отпуск по уходу за ребенком до достижения им (ими) возраста трех лет. В случае усыновления ребенка (детей) обоими супругами указанные отпуска предоставляются одному из супругов по их усмотрению.</w:t>
      </w:r>
    </w:p>
    <w:p w14:paraId="56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14:paraId="57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Отпуска по уходу за ребенком засчитываются в трудовой стаж, а также в стаж работы по специальности (за исключением случаев досрочного назначения страховой пенсии по старости). При этом в стаж работы, дающий право на ежегодный основной оплачиваемый отпуск, время отпусков по уходу за ребенком до достижения им установленного законом возраста не включается.</w:t>
      </w:r>
    </w:p>
    <w:p w14:paraId="58000000">
      <w:pPr>
        <w:spacing w:after="0" w:line="240" w:lineRule="auto"/>
        <w:ind w:firstLine="709" w:left="0"/>
        <w:jc w:val="both"/>
        <w:rPr>
          <w:rFonts w:ascii="Times New Roman" w:hAnsi="Times New Roman"/>
          <w:color w:val="333333"/>
          <w:sz w:val="28"/>
        </w:rPr>
      </w:pPr>
    </w:p>
    <w:p w14:paraId="59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w:t>
      </w:r>
      <w:r>
        <w:rPr>
          <w:rFonts w:ascii="Times New Roman" w:hAnsi="Times New Roman"/>
          <w:b w:val="1"/>
          <w:color w:val="333333"/>
          <w:sz w:val="28"/>
        </w:rPr>
        <w:t>14. Уголовная ответственность за коррупционные нарушения.</w:t>
      </w:r>
    </w:p>
    <w:p w14:paraId="5A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Для эффективного и успешного развития общества, обеспечения безопасности и благосостояния государства и проживающих в нем граждан важную роль играет борьба с преступностью, в том числе с правонарушениями коррупционной направленности. Особое значение в противодействии коррупции отведено мерам по профилактике, среди которых важную роль играет формирование в обществе нетерпимости к коррупционному поведению.</w:t>
      </w:r>
    </w:p>
    <w:p w14:paraId="5B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Федеральным законом от 25.12.2008 № 273-ФЗ «О противодействии коррупции» установлены основные принципы противодействия коррупции, правовые и организационные основы предупреждения коррупции и борьбы с ней, минимизации и ликвидации последствий коррупционных правонарушений.</w:t>
      </w:r>
    </w:p>
    <w:p w14:paraId="5C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Одним из важных принципов противодействия коррупции в Российской Федерации является неотвратимость ответственности за совершение коррупционных правонарушений. Важно отметить, что орудием в руках системы правоохранительных и надзорных органов, органов судебной власти в борьбе с коррупционными преступлениями является Уголовный кодекс РФ. Так, за получение взятки статьей 290 Уголовного кодекса РФ предусмотрено суровое наказание - штраф до 5 миллионов рублей, лишение свободы до 15 лет.</w:t>
      </w:r>
    </w:p>
    <w:p w14:paraId="5D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Наказание также предусмотрено и за дачу взятки. Статья 291 Уголовного кодекса РФ предусматривает в качестве максимального наказания штраф в размере до 4 миллионов рублей, а также лишение свободы - до 15 лет. Возможно лишение права занимать определенные должности или заниматься определенной деятельностью на срок до 10 лет.</w:t>
      </w:r>
    </w:p>
    <w:p w14:paraId="5E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Следует знать! Лицо, давшее взятку, освобождается от уголовной ответственности, если оно активно способствовало раскрытию, расследованию преступления,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дачу взятки.</w:t>
      </w:r>
    </w:p>
    <w:p w14:paraId="5F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15. Уголовная ответственность за преднамеренное банкротство.</w:t>
      </w:r>
    </w:p>
    <w:p w14:paraId="60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Статьей 196 Уголовного кодекса Российской </w:t>
      </w:r>
      <w:r>
        <w:rPr>
          <w:rFonts w:ascii="Times New Roman" w:hAnsi="Times New Roman"/>
          <w:color w:val="333333"/>
          <w:sz w:val="28"/>
        </w:rPr>
        <w:t>Федерации  (</w:t>
      </w:r>
      <w:r>
        <w:rPr>
          <w:rFonts w:ascii="Times New Roman" w:hAnsi="Times New Roman"/>
          <w:color w:val="333333"/>
          <w:sz w:val="28"/>
        </w:rPr>
        <w:t>далее – УК РФ) предусмотрена уголовная ответственность за преднамеренное банкротство.</w:t>
      </w:r>
    </w:p>
    <w:p w14:paraId="61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Под преднамеренным банкротством понимается совершение действий (бездействия), заведомо влекущих неспособность юридического лица или гражданина, в том числе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причинили крупный ущерб.</w:t>
      </w:r>
    </w:p>
    <w:p w14:paraId="62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Таким образом, объективная сторона характеризуется: деянием (действием или бездействием), повлекшим неспособность должника:</w:t>
      </w:r>
    </w:p>
    <w:p w14:paraId="63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 удовлетворить имущественные требования кредиторов (например, создание искусственной кредиторской задолженности, </w:t>
      </w:r>
      <w:r>
        <w:rPr>
          <w:rFonts w:ascii="Times New Roman" w:hAnsi="Times New Roman"/>
          <w:color w:val="333333"/>
          <w:sz w:val="28"/>
        </w:rPr>
        <w:t>невзыскание</w:t>
      </w:r>
      <w:r>
        <w:rPr>
          <w:rFonts w:ascii="Times New Roman" w:hAnsi="Times New Roman"/>
          <w:color w:val="333333"/>
          <w:sz w:val="28"/>
        </w:rPr>
        <w:t xml:space="preserve"> дебиторской задолженности, отчуждение основных средств производства и перевод трудового коллектива в другую компанию, перезаключение договоров с контрагентами на новую фирму, в результате чего первая компания лишается персонала, клиентов и не может эффективно продолжать </w:t>
      </w:r>
      <w:r>
        <w:rPr>
          <w:rFonts w:ascii="Times New Roman" w:hAnsi="Times New Roman"/>
          <w:color w:val="333333"/>
          <w:sz w:val="28"/>
        </w:rPr>
        <w:t>работать,заключение</w:t>
      </w:r>
      <w:r>
        <w:rPr>
          <w:rFonts w:ascii="Times New Roman" w:hAnsi="Times New Roman"/>
          <w:color w:val="333333"/>
          <w:sz w:val="28"/>
        </w:rPr>
        <w:t xml:space="preserve"> убыточных сделок);</w:t>
      </w:r>
    </w:p>
    <w:p w14:paraId="64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и (или) уплатить кредитору определенную денежную сумму по гражданско-правовой сделке и (или) иному законному основанию.</w:t>
      </w:r>
    </w:p>
    <w:p w14:paraId="65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В результате данного деяния должны быть причинены последствия в виде крупного ущерба (свыше 3,5 млн рублей) с обязательным установлением причинно-следственной связью между деянием и последствием.</w:t>
      </w:r>
    </w:p>
    <w:p w14:paraId="66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При этом, моментом причинения ущерба является наступление срока, до истечения которого должник обязан погасить долг (по договору или требованиям законодательства).</w:t>
      </w:r>
    </w:p>
    <w:p w14:paraId="67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Субъективная сторона характеризуется прямым умыслом и целью - банкротство организации.</w:t>
      </w:r>
    </w:p>
    <w:p w14:paraId="68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Согласно примечанию к статье 195 УК РФ лицо, впервые совершившее преступление, предусмотренное настоящей статьей 196 УК РФ, освобождается от уголовной ответственности, если оно активно способствовало раскрытию и (или) расследованию преступления, добровольно сообщило о лицах, </w:t>
      </w:r>
      <w:r>
        <w:rPr>
          <w:rFonts w:ascii="Times New Roman" w:hAnsi="Times New Roman"/>
          <w:color w:val="333333"/>
          <w:sz w:val="28"/>
        </w:rPr>
        <w:t>извлекавших выгоду из незаконного или недобросовестного поведения должника, раскрыло информацию об имуществе (доходах) таких лиц, объем которого обеспечил реальное возмещение причиненного этим преступлением ущерба, и если в его действиях не содержится иного состава преступления.</w:t>
      </w:r>
    </w:p>
    <w:p w14:paraId="69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16. Внимание: мошенники притворяются работодателями.</w:t>
      </w:r>
    </w:p>
    <w:p w14:paraId="6A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Злоумышленники размещают в сети «Интернет» фальшивые объявления о вакансиях. Используют привлекательные условия труда и высокую зарплату.</w:t>
      </w:r>
    </w:p>
    <w:p w14:paraId="6B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Насторожитесь, если в объявлении:</w:t>
      </w:r>
    </w:p>
    <w:p w14:paraId="6C000000">
      <w:pPr>
        <w:numPr>
          <w:numId w:val="3"/>
        </w:numPr>
        <w:spacing w:after="0" w:line="240" w:lineRule="auto"/>
        <w:ind/>
        <w:jc w:val="both"/>
        <w:rPr>
          <w:rFonts w:ascii="Times New Roman" w:hAnsi="Times New Roman"/>
          <w:b w:val="1"/>
          <w:color w:val="333333"/>
          <w:sz w:val="28"/>
        </w:rPr>
      </w:pPr>
      <w:r>
        <w:rPr>
          <w:rFonts w:ascii="Times New Roman" w:hAnsi="Times New Roman"/>
          <w:color w:val="000000"/>
          <w:sz w:val="28"/>
        </w:rPr>
        <w:t>Подозрительно выгодные условия;</w:t>
      </w:r>
    </w:p>
    <w:p w14:paraId="6D000000">
      <w:pPr>
        <w:numPr>
          <w:numId w:val="3"/>
        </w:numPr>
        <w:spacing w:after="0" w:line="240" w:lineRule="auto"/>
        <w:ind/>
        <w:jc w:val="both"/>
        <w:rPr>
          <w:rFonts w:ascii="Times New Roman" w:hAnsi="Times New Roman"/>
          <w:b w:val="1"/>
          <w:color w:val="333333"/>
          <w:sz w:val="28"/>
        </w:rPr>
      </w:pPr>
      <w:r>
        <w:rPr>
          <w:rFonts w:ascii="Times New Roman" w:hAnsi="Times New Roman"/>
          <w:color w:val="000000"/>
          <w:sz w:val="28"/>
        </w:rPr>
        <w:t>Легкость заработка;</w:t>
      </w:r>
    </w:p>
    <w:p w14:paraId="6E000000">
      <w:pPr>
        <w:numPr>
          <w:numId w:val="3"/>
        </w:numPr>
        <w:spacing w:after="0" w:line="240" w:lineRule="auto"/>
        <w:ind/>
        <w:jc w:val="both"/>
        <w:rPr>
          <w:rFonts w:ascii="Times New Roman" w:hAnsi="Times New Roman"/>
          <w:b w:val="1"/>
          <w:color w:val="333333"/>
          <w:sz w:val="28"/>
        </w:rPr>
      </w:pPr>
      <w:r>
        <w:rPr>
          <w:rFonts w:ascii="Times New Roman" w:hAnsi="Times New Roman"/>
          <w:color w:val="000000"/>
          <w:sz w:val="28"/>
        </w:rPr>
        <w:t>Недостаточно информации и отзывов о работодателе.</w:t>
      </w:r>
    </w:p>
    <w:p w14:paraId="6F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 xml:space="preserve">Мошенники проводят собеседования по телефону или </w:t>
      </w:r>
      <w:r>
        <w:rPr>
          <w:rFonts w:ascii="Times New Roman" w:hAnsi="Times New Roman"/>
          <w:color w:val="000000"/>
          <w:sz w:val="28"/>
        </w:rPr>
        <w:t>видеозвонку</w:t>
      </w:r>
      <w:r>
        <w:rPr>
          <w:rFonts w:ascii="Times New Roman" w:hAnsi="Times New Roman"/>
          <w:color w:val="000000"/>
          <w:sz w:val="28"/>
        </w:rPr>
        <w:t xml:space="preserve">, что </w:t>
      </w:r>
      <w:r>
        <w:rPr>
          <w:rFonts w:ascii="Times New Roman" w:hAnsi="Times New Roman"/>
          <w:color w:val="000000"/>
          <w:sz w:val="28"/>
        </w:rPr>
        <w:t>создает иллюзию правдивости. В беседе они делают вид, что вы – лучший кандидат на должность.</w:t>
      </w:r>
    </w:p>
    <w:p w14:paraId="70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Киберпреступники</w:t>
      </w:r>
      <w:r>
        <w:rPr>
          <w:rFonts w:ascii="Times New Roman" w:hAnsi="Times New Roman"/>
          <w:color w:val="000000"/>
          <w:sz w:val="28"/>
        </w:rPr>
        <w:t xml:space="preserve"> выпрашивают ваши данные паспорта и СНИЛС будто бы для оформления на работу. Требуют реквизиты банковской карты, якобы для перевода аванса, зарплаты. </w:t>
      </w:r>
    </w:p>
    <w:p w14:paraId="71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На самом деле их цель – украсть с вашей банковской карты деньги.</w:t>
      </w:r>
    </w:p>
    <w:p w14:paraId="72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 xml:space="preserve">Вам приходит </w:t>
      </w:r>
      <w:r>
        <w:rPr>
          <w:rFonts w:ascii="Times New Roman" w:hAnsi="Times New Roman"/>
          <w:color w:val="000000"/>
          <w:sz w:val="28"/>
        </w:rPr>
        <w:t>смс-сообщение</w:t>
      </w:r>
      <w:r>
        <w:rPr>
          <w:rFonts w:ascii="Times New Roman" w:hAnsi="Times New Roman"/>
          <w:color w:val="000000"/>
          <w:sz w:val="28"/>
        </w:rPr>
        <w:t xml:space="preserve"> и «работодатель» просит назвать код из него для подтверждения заявки на работу, но данные коды позволяют злоумышленникам сделать перевод или оплату с банковского счета либо получить доступ на портал «</w:t>
      </w:r>
      <w:r>
        <w:rPr>
          <w:rFonts w:ascii="Times New Roman" w:hAnsi="Times New Roman"/>
          <w:color w:val="000000"/>
          <w:sz w:val="28"/>
        </w:rPr>
        <w:t>Госуслуги</w:t>
      </w:r>
      <w:r>
        <w:rPr>
          <w:rFonts w:ascii="Times New Roman" w:hAnsi="Times New Roman"/>
          <w:color w:val="000000"/>
          <w:sz w:val="28"/>
        </w:rPr>
        <w:t>».</w:t>
      </w:r>
    </w:p>
    <w:p w14:paraId="73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 xml:space="preserve">Относитесь скептично к предложениям, которые кажутся слишком хорошими, чтобы быть правдой. Проверяйте компанию работодателя перед тем, как откликнуться на вакансию. </w:t>
      </w:r>
    </w:p>
    <w:p w14:paraId="74000000">
      <w:pPr>
        <w:spacing w:after="0" w:line="240" w:lineRule="auto"/>
        <w:ind w:firstLine="709" w:left="0"/>
        <w:jc w:val="both"/>
        <w:rPr>
          <w:rFonts w:ascii="Times New Roman" w:hAnsi="Times New Roman"/>
          <w:b w:val="1"/>
          <w:color w:val="333333"/>
          <w:sz w:val="28"/>
        </w:rPr>
      </w:pPr>
      <w:r>
        <w:rPr>
          <w:rFonts w:ascii="Times New Roman" w:hAnsi="Times New Roman"/>
          <w:color w:val="000000"/>
          <w:sz w:val="28"/>
        </w:rPr>
        <w:t>Не передавайте личные данные или банковскую информацию до подписания договора с работодателем. Не сообщайте коды из смс-сообщений и используйте проверенные ресурсы для поиска вакансий!</w:t>
      </w:r>
    </w:p>
    <w:p w14:paraId="75000000">
      <w:pPr>
        <w:spacing w:after="0" w:line="240" w:lineRule="auto"/>
        <w:ind w:firstLine="709" w:left="0"/>
        <w:jc w:val="both"/>
        <w:rPr>
          <w:rFonts w:ascii="Times New Roman" w:hAnsi="Times New Roman"/>
          <w:b w:val="1"/>
          <w:color w:val="333333"/>
          <w:sz w:val="28"/>
        </w:rPr>
      </w:pPr>
    </w:p>
    <w:p w14:paraId="76000000">
      <w:pPr>
        <w:spacing w:after="0" w:line="240" w:lineRule="auto"/>
        <w:ind w:firstLine="709" w:left="0"/>
        <w:jc w:val="both"/>
        <w:rPr>
          <w:rFonts w:ascii="Times New Roman" w:hAnsi="Times New Roman"/>
          <w:b w:val="1"/>
          <w:color w:val="333333"/>
          <w:sz w:val="28"/>
        </w:rPr>
      </w:pPr>
    </w:p>
    <w:p w14:paraId="77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 xml:space="preserve">17. Внимание: активизируются </w:t>
      </w:r>
      <w:r>
        <w:rPr>
          <w:rFonts w:ascii="Times New Roman" w:hAnsi="Times New Roman"/>
          <w:b w:val="1"/>
          <w:color w:val="333333"/>
          <w:sz w:val="28"/>
        </w:rPr>
        <w:t>киберпреступники.</w:t>
      </w:r>
    </w:p>
    <w:p w14:paraId="78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Популярные схемы:</w:t>
      </w:r>
    </w:p>
    <w:p w14:paraId="79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Фейковые</w:t>
      </w:r>
      <w:r>
        <w:rPr>
          <w:rFonts w:ascii="Times New Roman" w:hAnsi="Times New Roman"/>
          <w:color w:val="000000"/>
          <w:sz w:val="28"/>
        </w:rPr>
        <w:t xml:space="preserve"> знакомства – мошенники создают ложные профили в социальных сетях и на сайтах знакомств, разыгрывают вспыхнувшие чувства и в итоге выманивают денежные средства.</w:t>
      </w:r>
      <w:r>
        <w:rPr>
          <w:rFonts w:ascii="Times New Roman" w:hAnsi="Times New Roman"/>
          <w:color w:val="000000"/>
          <w:sz w:val="28"/>
        </w:rPr>
        <w:t>Ложные сайты доставки цветов и подарков – предлагают «скидки и эксклюзивные букеты», но после оплаты заказа прекращают общение.</w:t>
      </w:r>
      <w:r>
        <w:rPr>
          <w:rFonts w:ascii="Times New Roman" w:hAnsi="Times New Roman"/>
          <w:color w:val="000000"/>
          <w:sz w:val="28"/>
        </w:rPr>
        <w:t>Фишинговые</w:t>
      </w:r>
      <w:r>
        <w:rPr>
          <w:rFonts w:ascii="Times New Roman" w:hAnsi="Times New Roman"/>
          <w:color w:val="000000"/>
          <w:sz w:val="28"/>
        </w:rPr>
        <w:t xml:space="preserve"> акции и скидки – предложения якобы от известных брендов, которые приведут вас на сайты, похищающие персональные данные или </w:t>
      </w:r>
      <w:r>
        <w:rPr>
          <w:rFonts w:ascii="Times New Roman" w:hAnsi="Times New Roman"/>
          <w:color w:val="000000"/>
          <w:sz w:val="28"/>
        </w:rPr>
        <w:t>распространяющие вредоносное ПО.</w:t>
      </w:r>
      <w:r>
        <w:rPr>
          <w:rFonts w:ascii="Times New Roman" w:hAnsi="Times New Roman"/>
          <w:color w:val="000000"/>
          <w:sz w:val="28"/>
        </w:rPr>
        <w:t>Доставка цветов от «неизвестного поклонника», предназначенная для выманивания смс-кода и получения неправомерного доступа к «</w:t>
      </w:r>
      <w:r>
        <w:rPr>
          <w:rFonts w:ascii="Times New Roman" w:hAnsi="Times New Roman"/>
          <w:color w:val="000000"/>
          <w:sz w:val="28"/>
        </w:rPr>
        <w:t>Госуслугам</w:t>
      </w:r>
      <w:r>
        <w:rPr>
          <w:rFonts w:ascii="Times New Roman" w:hAnsi="Times New Roman"/>
          <w:color w:val="000000"/>
          <w:sz w:val="28"/>
        </w:rPr>
        <w:t>» и иным личным аккаунтам.</w:t>
      </w:r>
      <w:r>
        <w:rPr>
          <w:rFonts w:ascii="Times New Roman" w:hAnsi="Times New Roman"/>
          <w:color w:val="000000"/>
          <w:sz w:val="28"/>
        </w:rPr>
        <w:t>Будьте внимательны и осторожны!</w:t>
      </w:r>
    </w:p>
    <w:p w14:paraId="7A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18. Внимание: новая схема обмана с продлением полиса ОМС.</w:t>
      </w:r>
    </w:p>
    <w:p w14:paraId="7B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Злоумышленники придумали новую схему мошенничества, в основном для обмана пенсионеров и инвалидов.</w:t>
      </w:r>
    </w:p>
    <w:p w14:paraId="7C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Мошенники звонят под видом сотрудников страховых компаний и сообщают о необходимости продления полиса ОМС.</w:t>
      </w:r>
    </w:p>
    <w:p w14:paraId="7D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 xml:space="preserve">Для дистанционного обновления предлагают скачать приложение Минздрава, которое на самом деле </w:t>
      </w:r>
      <w:r>
        <w:rPr>
          <w:rFonts w:ascii="Times New Roman" w:hAnsi="Times New Roman"/>
          <w:color w:val="000000"/>
          <w:sz w:val="28"/>
        </w:rPr>
        <w:t>фейковое</w:t>
      </w:r>
      <w:r>
        <w:rPr>
          <w:rFonts w:ascii="Times New Roman" w:hAnsi="Times New Roman"/>
          <w:color w:val="000000"/>
          <w:sz w:val="28"/>
        </w:rPr>
        <w:t xml:space="preserve"> и позволяет получить удаленный доступ к смартфону, а также интернет-банку и порталу «</w:t>
      </w:r>
      <w:r>
        <w:rPr>
          <w:rFonts w:ascii="Times New Roman" w:hAnsi="Times New Roman"/>
          <w:color w:val="000000"/>
          <w:sz w:val="28"/>
        </w:rPr>
        <w:t>Госуслуги</w:t>
      </w:r>
      <w:r>
        <w:rPr>
          <w:rFonts w:ascii="Times New Roman" w:hAnsi="Times New Roman"/>
          <w:color w:val="000000"/>
          <w:sz w:val="28"/>
        </w:rPr>
        <w:t>».</w:t>
      </w:r>
    </w:p>
    <w:p w14:paraId="7E000000">
      <w:pPr>
        <w:spacing w:after="0" w:line="240" w:lineRule="auto"/>
        <w:ind w:firstLine="709" w:left="0"/>
        <w:jc w:val="both"/>
        <w:rPr>
          <w:rFonts w:ascii="Times New Roman" w:hAnsi="Times New Roman"/>
          <w:color w:val="333333"/>
          <w:sz w:val="28"/>
        </w:rPr>
      </w:pPr>
      <w:r>
        <w:rPr>
          <w:rFonts w:ascii="Times New Roman" w:hAnsi="Times New Roman"/>
          <w:color w:val="000000"/>
          <w:sz w:val="28"/>
        </w:rPr>
        <w:t>Если поступил такой звонок, незамедлительно прекращайте разговор и перезвоните в службу поддержки вашей страховой компании, чтобы уточнить всю необходимую информацию.</w:t>
      </w:r>
    </w:p>
    <w:p w14:paraId="7F000000">
      <w:pPr>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19. Будьте осторожны! Интернет-мошенничество.</w:t>
      </w:r>
    </w:p>
    <w:p w14:paraId="80000000">
      <w:pPr>
        <w:spacing w:after="0" w:line="240" w:lineRule="auto"/>
        <w:ind w:firstLine="709" w:left="0"/>
        <w:jc w:val="both"/>
        <w:rPr>
          <w:rFonts w:ascii="Times New Roman" w:hAnsi="Times New Roman"/>
          <w:b w:val="1"/>
          <w:color w:val="333333"/>
          <w:sz w:val="28"/>
        </w:rPr>
      </w:pPr>
      <w:r>
        <w:rPr>
          <w:rFonts w:ascii="Times New Roman" w:hAnsi="Times New Roman"/>
          <w:color w:val="333333"/>
          <w:sz w:val="28"/>
        </w:rPr>
        <w:t>Важнейшая проблема, с которой сталкиваются многие граждане – это дистанционное мошенничество, связанное с получением мошенниками удаленного доступа к банковской карте и интернет-мошенничеством. Довольно часто мошенники выдают себя за сотрудников банка. Под предлогом «сбоя в базе данных», «начисления бонусов», «подключения к социальной программе» или иных надуманных предлогов злоумышленники просят, а иногда даже требуют сообщить им реквизиты карты, код безопасности и одноразовый пароль. Получив необходимые сведения, мошенники списывают деньги со счета.</w:t>
      </w:r>
    </w:p>
    <w:p w14:paraId="81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Помните! При звонке клиенту сотрудник банка никогда не просит сообщить ему реквизиты карты и совершать какие-либо операции с картой. Если вам позвонили из банка и интересуются вашей платежной картой, разумнее всего прекратить разговор и перезвонить в банк по официальному номеру контактного центра банка (номер телефона службы поддержки клиента указывается на оборотной стороне карты).</w:t>
      </w:r>
    </w:p>
    <w:p w14:paraId="82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Мошенниками могут быть запрошены у жертвы следующие данные:</w:t>
      </w:r>
    </w:p>
    <w:p w14:paraId="83000000">
      <w:pPr>
        <w:numPr>
          <w:numId w:val="4"/>
        </w:numPr>
        <w:spacing w:after="0" w:line="240" w:lineRule="auto"/>
        <w:ind w:firstLine="709" w:left="0"/>
        <w:jc w:val="both"/>
        <w:rPr>
          <w:rFonts w:ascii="Times New Roman" w:hAnsi="Times New Roman"/>
          <w:color w:val="333333"/>
          <w:sz w:val="28"/>
        </w:rPr>
      </w:pPr>
      <w:r>
        <w:rPr>
          <w:rFonts w:ascii="Times New Roman" w:hAnsi="Times New Roman"/>
          <w:color w:val="333333"/>
          <w:sz w:val="28"/>
        </w:rPr>
        <w:t>ПИН-код карты – четырехзначная комбинация цифр, выдаваемая в конверте одновременно с изготовленной банковской картой. Его можно изменить, обратившись в отделение банка или позвонив на горячую линию.</w:t>
      </w:r>
    </w:p>
    <w:p w14:paraId="84000000">
      <w:pPr>
        <w:numPr>
          <w:numId w:val="4"/>
        </w:numPr>
        <w:spacing w:after="0" w:line="240" w:lineRule="auto"/>
        <w:ind w:firstLine="709" w:left="0"/>
        <w:jc w:val="both"/>
        <w:rPr>
          <w:rFonts w:ascii="Times New Roman" w:hAnsi="Times New Roman"/>
          <w:color w:val="333333"/>
          <w:sz w:val="28"/>
        </w:rPr>
      </w:pPr>
      <w:r>
        <w:rPr>
          <w:rFonts w:ascii="Times New Roman" w:hAnsi="Times New Roman"/>
          <w:color w:val="333333"/>
          <w:sz w:val="28"/>
        </w:rPr>
        <w:t>Код безопасности (CVV2 или CVC2) – комбинация цифр, указанная на оборотной стороне карты, а именно: три крайние правые цифры, указанные после четырех последних цифр номера карты. Проверочный код необходим только для совершения платежей в интернете. При онлайн-оплате он вводится вместе с номером карты, именем держателя карты и сроком окончания действия карты.</w:t>
      </w:r>
    </w:p>
    <w:p w14:paraId="85000000">
      <w:pPr>
        <w:numPr>
          <w:numId w:val="4"/>
        </w:numPr>
        <w:spacing w:after="0" w:line="240" w:lineRule="auto"/>
        <w:ind w:firstLine="709" w:left="0"/>
        <w:jc w:val="both"/>
        <w:rPr>
          <w:rFonts w:ascii="Times New Roman" w:hAnsi="Times New Roman"/>
          <w:color w:val="333333"/>
          <w:sz w:val="28"/>
        </w:rPr>
      </w:pPr>
      <w:r>
        <w:rPr>
          <w:rFonts w:ascii="Times New Roman" w:hAnsi="Times New Roman"/>
          <w:color w:val="333333"/>
          <w:sz w:val="28"/>
        </w:rPr>
        <w:t>Одноразовый пароль банка для подтверждения оплаты онлайн – комбинация цифр, отправляемых банком в смс-сообщении или </w:t>
      </w:r>
      <w:r>
        <w:rPr>
          <w:rFonts w:ascii="Times New Roman" w:hAnsi="Times New Roman"/>
          <w:color w:val="333333"/>
          <w:sz w:val="28"/>
        </w:rPr>
        <w:t>push</w:t>
      </w:r>
      <w:r>
        <w:rPr>
          <w:rFonts w:ascii="Times New Roman" w:hAnsi="Times New Roman"/>
          <w:color w:val="333333"/>
          <w:sz w:val="28"/>
        </w:rPr>
        <w:t>-</w:t>
      </w:r>
      <w:r>
        <w:rPr>
          <w:rFonts w:ascii="Times New Roman" w:hAnsi="Times New Roman"/>
          <w:b w:val="0"/>
          <w:color w:val="333333"/>
          <w:sz w:val="28"/>
        </w:rPr>
        <w:t>уведомлении для подтверждения операций с денежными средствами.</w:t>
      </w:r>
    </w:p>
    <w:p w14:paraId="86000000">
      <w:pPr>
        <w:spacing w:after="0" w:line="240" w:lineRule="auto"/>
        <w:ind w:firstLine="709" w:left="0"/>
        <w:jc w:val="both"/>
        <w:rPr>
          <w:rFonts w:ascii="Times New Roman" w:hAnsi="Times New Roman"/>
          <w:color w:val="333333"/>
          <w:sz w:val="28"/>
        </w:rPr>
      </w:pPr>
      <w:r>
        <w:rPr>
          <w:rFonts w:ascii="Times New Roman" w:hAnsi="Times New Roman"/>
          <w:b w:val="0"/>
          <w:color w:val="333333"/>
          <w:sz w:val="28"/>
        </w:rPr>
        <w:t>Ни в коем случае не сообщайте ПИН-код, код безопасности или одноразовый пароль третьим лицам!!!</w:t>
      </w:r>
    </w:p>
    <w:p w14:paraId="87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Никто, в том числе сотрудники банка, не вправе требовать от держателя карты сообщить ПИН-код или код безопасности!!!</w:t>
      </w:r>
    </w:p>
    <w:p w14:paraId="88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Одним из самых распространенных видов интернет-мошенничества является так называемый «</w:t>
      </w:r>
      <w:r>
        <w:rPr>
          <w:rFonts w:ascii="Times New Roman" w:hAnsi="Times New Roman"/>
          <w:color w:val="333333"/>
          <w:sz w:val="28"/>
        </w:rPr>
        <w:t>фишинг</w:t>
      </w:r>
      <w:r>
        <w:rPr>
          <w:rFonts w:ascii="Times New Roman" w:hAnsi="Times New Roman"/>
          <w:color w:val="333333"/>
          <w:sz w:val="28"/>
        </w:rPr>
        <w:t xml:space="preserve">». Мошенники совершают определенные действия, направленные на получение доступа к денежным средствам на банковской карте потенциальной жертвы, при помощи почтовых рассылок от лица банка, содержащих в себе ссылки на страницы, являющиеся точными копиями </w:t>
      </w:r>
      <w:r>
        <w:rPr>
          <w:rFonts w:ascii="Times New Roman" w:hAnsi="Times New Roman"/>
          <w:color w:val="333333"/>
          <w:sz w:val="28"/>
        </w:rPr>
        <w:t>официальных сайтов, на которых предлагается ввести данные карты для возможности дальнейшего ее использования.</w:t>
      </w:r>
    </w:p>
    <w:p w14:paraId="89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Распространенным способом мошенничества является мошенничество в социальных сетях. Мошенники взламывают персональную страницу пользователя в социальных сетях или мессенджере и либо всем подряд отправляют сообщения с просьбой помочь и срочно перевести </w:t>
      </w:r>
      <w:r>
        <w:rPr>
          <w:rFonts w:ascii="Times New Roman" w:hAnsi="Times New Roman"/>
          <w:color w:val="333333"/>
          <w:sz w:val="28"/>
        </w:rPr>
        <w:t>денег</w:t>
      </w:r>
      <w:r>
        <w:rPr>
          <w:rFonts w:ascii="Times New Roman" w:hAnsi="Times New Roman"/>
          <w:color w:val="333333"/>
          <w:sz w:val="28"/>
        </w:rPr>
        <w:t xml:space="preserve"> либо анализируют переписку и находят самых близких людей, тех, кто точно не откажет.</w:t>
      </w:r>
    </w:p>
    <w:p w14:paraId="8A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После первого перевода мошенники могут связаться с жертвой, сказать, что-то пошло не так, попросить повторить перевод и так пока на карте не закончатся деньги или жертва не догадается об обмане, но выманивать могут не только деньги, но и реквизиты карт якобы для того, чтобы перевести деньги жертве (спросят номер карты, срок действия, трехзначный код безопасности и пароли из смс), однако деньги жертве разумеется не придут, зато с карты средства будут списаны.</w:t>
      </w:r>
    </w:p>
    <w:p w14:paraId="8B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Что же делать, если вам пришло сообщение с просьбой о помощи от одного из знакомых или родственников? Необходимо немедленно связаться с ним по телефону, уточнить отправлял ли он это сообщение и не предпринимать ничего, пока он не подтвердит это лично. Тем более ни в коем случае нельзя сообщать реквизиты своей карты (три цифры на оборотной стороне, срок действия, пароль из смс).</w:t>
      </w:r>
    </w:p>
    <w:p w14:paraId="8C000000">
      <w:pPr>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Кроме того, нужно позаботиться и о пароле для своего аккаунта в </w:t>
      </w:r>
      <w:r>
        <w:rPr>
          <w:rFonts w:ascii="Times New Roman" w:hAnsi="Times New Roman"/>
          <w:color w:val="333333"/>
          <w:sz w:val="28"/>
        </w:rPr>
        <w:t>соцсетях</w:t>
      </w:r>
      <w:r>
        <w:rPr>
          <w:rFonts w:ascii="Times New Roman" w:hAnsi="Times New Roman"/>
          <w:color w:val="333333"/>
          <w:sz w:val="28"/>
        </w:rPr>
        <w:t xml:space="preserve"> и мессенджерах. Он защищает не только вашу безопасность, но и безопасность ваших родных и близких.</w:t>
      </w:r>
    </w:p>
    <w:p w14:paraId="8D000000">
      <w:pPr>
        <w:pStyle w:val="Style_2"/>
        <w:spacing w:after="0" w:line="240" w:lineRule="exact"/>
        <w:ind/>
        <w:rPr>
          <w:rFonts w:ascii="Times New Roman" w:hAnsi="Times New Roman"/>
          <w:sz w:val="27"/>
        </w:rPr>
      </w:pPr>
    </w:p>
    <w:p w14:paraId="8E000000">
      <w:pPr>
        <w:pStyle w:val="Style_2"/>
        <w:spacing w:after="0"/>
        <w:ind/>
        <w:jc w:val="center"/>
        <w:rPr>
          <w:sz w:val="27"/>
        </w:rPr>
      </w:pPr>
      <w:bookmarkStart w:id="3" w:name="SIGNERSTAMP1"/>
      <w:bookmarkEnd w:id="3"/>
    </w:p>
    <w:sectPr>
      <w:headerReference r:id="rId2" w:type="default"/>
      <w:footerReference r:id="rId1" w:type="first"/>
      <w:pgSz w:h="16838" w:orient="portrait" w:w="11906"/>
      <w:pgMar w:bottom="1134" w:footer="709" w:header="709" w:left="1418" w:right="567" w:top="879"/>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Style w:val="Style_1"/>
      <w:tblpPr w:horzAnchor="margin" w:tblpXSpec="right" w:tblpYSpec="outside" w:vertAnchor="page"/>
      <w:tblW w:type="auto" w:w="0"/>
      <w:tblBorders>
        <w:top w:color="000000" w:sz="6" w:val="single"/>
        <w:left w:color="000000" w:sz="6" w:val="single"/>
        <w:bottom w:color="000000" w:sz="6" w:val="single"/>
        <w:right w:color="000000" w:sz="6" w:val="single"/>
        <w:insideH w:color="000000" w:sz="6" w:val="single"/>
        <w:insideV w:color="000000" w:sz="6" w:val="single"/>
      </w:tblBorders>
      <w:tblLayout w:type="fixed"/>
      <w:tblCellMar>
        <w:top w:type="dxa" w:w="28"/>
        <w:left w:type="dxa" w:w="28"/>
        <w:bottom w:type="dxa" w:w="28"/>
        <w:right w:type="dxa" w:w="28"/>
      </w:tblCellMar>
    </w:tblPr>
    <w:tblGrid>
      <w:gridCol w:w="3643"/>
    </w:tblGrid>
    <w:tr>
      <w:trPr>
        <w:trHeight w:hRule="atLeast" w:val="57"/>
      </w:trPr>
      <w:tc>
        <w:tcPr>
          <w:tcW w:type="dxa" w:w="3643"/>
          <w:tcBorders>
            <w:top w:color="000000" w:sz="6" w:val="single"/>
            <w:left w:color="000000" w:sz="6" w:val="single"/>
            <w:bottom w:color="000000" w:sz="6" w:val="single"/>
            <w:right w:color="000000" w:sz="6" w:val="single"/>
          </w:tcBorders>
          <w:tcMar>
            <w:top w:type="dxa" w:w="28"/>
            <w:left w:type="dxa" w:w="28"/>
            <w:bottom w:type="dxa" w:w="28"/>
            <w:right w:type="dxa" w:w="28"/>
          </w:tcMar>
          <w:vAlign w:val="top"/>
        </w:tcPr>
        <w:p w14:paraId="01000000">
          <w:pPr>
            <w:pStyle w:val="Style_2"/>
            <w:spacing w:after="60" w:line="240" w:lineRule="auto"/>
            <w:ind/>
            <w:jc w:val="center"/>
            <w:rPr>
              <w:rFonts w:ascii="Times New Roman" w:hAnsi="Times New Roman"/>
              <w:sz w:val="16"/>
            </w:rPr>
          </w:pPr>
          <w:bookmarkStart w:id="1" w:name="SIGNERORG1"/>
          <w:r>
            <w:rPr>
              <w:rFonts w:ascii="Times New Roman" w:hAnsi="Times New Roman"/>
              <w:sz w:val="16"/>
            </w:rPr>
            <w:t>организация</w:t>
          </w:r>
          <w:bookmarkEnd w:id="1"/>
        </w:p>
        <w:p w14:paraId="02000000">
          <w:pPr>
            <w:pStyle w:val="Style_2"/>
            <w:spacing w:after="60" w:line="240" w:lineRule="auto"/>
            <w:ind/>
            <w:jc w:val="left"/>
            <w:rPr>
              <w:rFonts w:ascii="Times New Roman" w:hAnsi="Times New Roman"/>
              <w:sz w:val="16"/>
            </w:rPr>
          </w:pPr>
          <w:r>
            <w:rPr>
              <w:rFonts w:ascii="Times New Roman" w:hAnsi="Times New Roman"/>
              <w:sz w:val="16"/>
            </w:rPr>
            <w:t xml:space="preserve">   </w:t>
          </w:r>
          <w:r>
            <w:rPr>
              <w:rFonts w:ascii="Times New Roman" w:hAnsi="Times New Roman"/>
              <w:sz w:val="16"/>
            </w:rPr>
            <w:t xml:space="preserve">  </w:t>
          </w:r>
          <w:r>
            <w:rPr>
              <w:rFonts w:ascii="Times New Roman" w:hAnsi="Times New Roman"/>
              <w:sz w:val="16"/>
            </w:rPr>
            <w:t xml:space="preserve"> </w:t>
          </w:r>
          <w:r>
            <w:rPr>
              <w:rFonts w:ascii="Times New Roman" w:hAnsi="Times New Roman"/>
              <w:sz w:val="16"/>
            </w:rPr>
            <w:t xml:space="preserve"> </w:t>
          </w:r>
          <w:r>
            <w:rPr>
              <w:rFonts w:ascii="Times New Roman" w:hAnsi="Times New Roman"/>
              <w:sz w:val="16"/>
            </w:rPr>
            <w:t xml:space="preserve">№ </w:t>
          </w:r>
          <w:bookmarkStart w:id="2" w:name="REGNUMSTAMP"/>
          <w:r>
            <w:rPr>
              <w:rFonts w:ascii="Times New Roman" w:hAnsi="Times New Roman"/>
              <w:color w:val="BFBFBF"/>
              <w:sz w:val="16"/>
            </w:rPr>
            <w:t>рег.номер</w:t>
          </w:r>
          <w:bookmarkEnd w:id="2"/>
        </w:p>
      </w:tc>
    </w:tr>
  </w:tbl>
  <w:p w14:paraId="03000000">
    <w:pPr>
      <w:pStyle w:val="Style_3"/>
      <w:spacing w:after="60"/>
      <w:ind/>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4"/>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insideMargin">
                <wp:align>center</wp:align>
              </wp:positionH>
              <wp:positionV relativeFrom="paragraph">
                <wp:posOffset>0</wp:posOffset>
              </wp:positionV>
              <wp:extent cx="0" cy="0"/>
              <wp:wrapSquare wrapText="bothSides"/>
              <wp:docPr hidden="false" id="1" name="Picture 1"/>
              <a:graphic>
                <a:graphicData uri="http://schemas.microsoft.com/office/word/2010/wordprocessingShape">
                  <wps:wsp>
                    <wps:cNvSpPr txBox="true"/>
                    <wps:spPr>
                      <a:xfrm flipH="false" flipV="false" rot="0">
                        <a:off x="0" y="0"/>
                        <a:ext cx="0" cy="0"/>
                      </a:xfrm>
                      <a:prstGeom prst="rect">
                        <a:avLst/>
                      </a:prstGeom>
                    </wps:spPr>
                    <wps:txbx>
                      <w:txbxContent>
                        <w:p w14:paraId="05000000">
                          <w:pPr>
                            <w:pStyle w:val="Style_2"/>
                            <w:rPr>
                              <w:rFonts w:ascii="Calibri" w:hAnsi="Calibri"/>
                              <w:color w:val="000000"/>
                              <w:spacing w:val="0"/>
                            </w:rPr>
                          </w:pPr>
                          <w:r>
                            <w:rPr>
                              <w:rFonts w:ascii="Calibri" w:hAnsi="Calibri"/>
                              <w:color w:val="000000"/>
                              <w:spacing w:val="0"/>
                            </w:rPr>
                            <w:fldChar w:fldCharType="begin"/>
                          </w:r>
                          <w:r>
                            <w:rPr>
                              <w:rFonts w:ascii="Calibri" w:hAnsi="Calibri"/>
                              <w:color w:val="000000"/>
                              <w:spacing w:val="0"/>
                            </w:rPr>
                            <w:instrText>PAGE \* Arabic</w:instrText>
                          </w:r>
                          <w:r>
                            <w:rPr>
                              <w:rFonts w:ascii="Calibri" w:hAnsi="Calibri"/>
                              <w:color w:val="000000"/>
                              <w:spacing w:val="0"/>
                            </w:rPr>
                            <w:fldChar w:fldCharType="separate"/>
                          </w:r>
                          <w:r>
                            <w:rPr>
                              <w:rFonts w:ascii="Calibri" w:hAnsi="Calibri"/>
                              <w:color w:val="000000"/>
                              <w:spacing w:val="0"/>
                            </w:rPr>
                            <w:t xml:space="preserve"> </w:t>
                          </w:r>
                          <w:r>
                            <w:rPr>
                              <w:rFonts w:ascii="Calibri" w:hAnsi="Calibri"/>
                              <w:color w:val="000000"/>
                              <w:spacing w:val="0"/>
                            </w:rPr>
                            <w:fldChar w:fldCharType="end"/>
                          </w:r>
                        </w:p>
                      </w:txbxContent>
                    </wps:txbx>
                    <wps:bodyPr anchor="ctr" anchorCtr="true" bIns="45720" lIns="91440" rIns="91440" tIns="4572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160" w:line="264" w:lineRule="auto"/>
      <w:ind/>
    </w:pPr>
    <w:rPr>
      <w:sz w:val="22"/>
    </w:rPr>
  </w:style>
  <w:style w:default="1" w:styleId="Style_2_ch" w:type="character">
    <w:name w:val="Normal"/>
    <w:link w:val="Style_2"/>
    <w:rPr>
      <w:sz w:val="22"/>
    </w:rPr>
  </w:style>
  <w:style w:styleId="Style_5" w:type="paragraph">
    <w:name w:val="toc 2"/>
    <w:next w:val="Style_2"/>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2"/>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2"/>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2"/>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3" w:type="paragraph">
    <w:name w:val="footer"/>
    <w:basedOn w:val="Style_2"/>
    <w:next w:val="Style_2"/>
    <w:link w:val="Style_3_ch"/>
    <w:pPr>
      <w:tabs>
        <w:tab w:leader="none" w:pos="4677" w:val="center"/>
        <w:tab w:leader="none" w:pos="9355" w:val="right"/>
      </w:tabs>
      <w:spacing w:after="0" w:line="240" w:lineRule="auto"/>
      <w:ind/>
    </w:pPr>
  </w:style>
  <w:style w:styleId="Style_3_ch" w:type="character">
    <w:name w:val="footer"/>
    <w:basedOn w:val="Style_2_ch"/>
    <w:link w:val="Style_3"/>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4" w:type="paragraph">
    <w:name w:val="Header and Footer"/>
    <w:link w:val="Style_4_ch"/>
    <w:pPr>
      <w:spacing w:line="240" w:lineRule="auto"/>
      <w:ind/>
      <w:jc w:val="both"/>
    </w:pPr>
    <w:rPr>
      <w:rFonts w:ascii="XO Thames" w:hAnsi="XO Thames"/>
      <w:sz w:val="28"/>
    </w:rPr>
  </w:style>
  <w:style w:styleId="Style_4_ch" w:type="character">
    <w:name w:val="Header and Footer"/>
    <w:link w:val="Style_4"/>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header"/>
    <w:basedOn w:val="Style_2"/>
    <w:next w:val="Style_2"/>
    <w:link w:val="Style_18_ch"/>
    <w:pPr>
      <w:tabs>
        <w:tab w:leader="none" w:pos="4677" w:val="center"/>
        <w:tab w:leader="none" w:pos="9355" w:val="right"/>
      </w:tabs>
      <w:spacing w:after="0" w:line="240" w:lineRule="auto"/>
      <w:ind/>
    </w:pPr>
  </w:style>
  <w:style w:styleId="Style_18_ch" w:type="character">
    <w:name w:val="header"/>
    <w:basedOn w:val="Style_2_ch"/>
    <w:link w:val="Style_18"/>
  </w:style>
  <w:style w:styleId="Style_19" w:type="paragraph">
    <w:name w:val="Balloon Text"/>
    <w:basedOn w:val="Style_2"/>
    <w:next w:val="Style_2"/>
    <w:link w:val="Style_19_ch"/>
    <w:pPr>
      <w:spacing w:after="0" w:line="240" w:lineRule="auto"/>
      <w:ind/>
    </w:pPr>
    <w:rPr>
      <w:rFonts w:ascii="Segoe UI" w:hAnsi="Segoe UI"/>
      <w:sz w:val="18"/>
    </w:rPr>
  </w:style>
  <w:style w:styleId="Style_19_ch" w:type="character">
    <w:name w:val="Balloon Text"/>
    <w:basedOn w:val="Style_2_ch"/>
    <w:link w:val="Style_19"/>
    <w:rPr>
      <w:rFonts w:ascii="Segoe UI" w:hAnsi="Segoe UI"/>
      <w:sz w:val="18"/>
    </w:rPr>
  </w:style>
  <w:style w:styleId="Style_20" w:type="paragraph">
    <w:name w:val="Default Paragraph Font"/>
    <w:link w:val="Style_20_ch"/>
  </w:style>
  <w:style w:styleId="Style_20_ch" w:type="character">
    <w:name w:val="Default Paragraph Font"/>
    <w:link w:val="Style_20"/>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1"/>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2025-04-08T14:00:00Z</dcterms:modified>
</cp:coreProperties>
</file>